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613B" w14:textId="77777777" w:rsidR="000402D6" w:rsidRPr="000402D6" w:rsidRDefault="000402D6" w:rsidP="000402D6">
      <w:pPr>
        <w:spacing w:line="360" w:lineRule="auto"/>
        <w:jc w:val="both"/>
        <w:rPr>
          <w:rFonts w:ascii="Invesco Interstate Bold" w:hAnsi="Invesco Interstate Bold"/>
          <w:b/>
          <w:bCs/>
          <w:sz w:val="28"/>
          <w:szCs w:val="28"/>
        </w:rPr>
      </w:pPr>
      <w:proofErr w:type="spellStart"/>
      <w:r w:rsidRPr="000402D6">
        <w:rPr>
          <w:rFonts w:ascii="Invesco Interstate Bold" w:hAnsi="Invesco Interstate Bold"/>
          <w:b/>
          <w:bCs/>
          <w:sz w:val="28"/>
          <w:szCs w:val="28"/>
        </w:rPr>
        <w:t>Invesco</w:t>
      </w:r>
      <w:proofErr w:type="spellEnd"/>
      <w:r w:rsidRPr="000402D6">
        <w:rPr>
          <w:rFonts w:ascii="Invesco Interstate Bold" w:hAnsi="Invesco Interstate Bold"/>
          <w:b/>
          <w:bCs/>
          <w:sz w:val="28"/>
          <w:szCs w:val="28"/>
        </w:rPr>
        <w:t>: Aktivně řízená ETF s pevným výnosem: dluhopisová expertiza v efektivním ETF formátu</w:t>
      </w:r>
    </w:p>
    <w:p w14:paraId="2FB22D37" w14:textId="77777777" w:rsidR="00DF6C0B" w:rsidRPr="000B3486" w:rsidRDefault="00DF6C0B" w:rsidP="003D67B0">
      <w:pPr>
        <w:spacing w:line="360" w:lineRule="auto"/>
        <w:jc w:val="both"/>
        <w:rPr>
          <w:rFonts w:ascii="Invesco Interstate Light" w:eastAsia="MS Mincho" w:hAnsi="Invesco Interstate Light"/>
          <w:sz w:val="22"/>
          <w:szCs w:val="22"/>
          <w:lang w:eastAsia="ja-JP"/>
        </w:rPr>
      </w:pPr>
    </w:p>
    <w:p w14:paraId="3577BAD5"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 xml:space="preserve">Matthew </w:t>
      </w:r>
      <w:proofErr w:type="spellStart"/>
      <w:r w:rsidRPr="000402D6">
        <w:rPr>
          <w:rFonts w:ascii="Invesco Interstate Light" w:eastAsia="MS Mincho" w:hAnsi="Invesco Interstate Light"/>
          <w:b/>
          <w:bCs/>
          <w:sz w:val="22"/>
          <w:szCs w:val="22"/>
          <w:lang w:eastAsia="ja-JP"/>
        </w:rPr>
        <w:t>Tagliani</w:t>
      </w:r>
      <w:proofErr w:type="spellEnd"/>
      <w:r w:rsidRPr="000402D6">
        <w:rPr>
          <w:rFonts w:ascii="Invesco Interstate Light" w:eastAsia="MS Mincho" w:hAnsi="Invesco Interstate Light"/>
          <w:b/>
          <w:bCs/>
          <w:sz w:val="22"/>
          <w:szCs w:val="22"/>
          <w:lang w:eastAsia="ja-JP"/>
        </w:rPr>
        <w:t xml:space="preserve"> a Paul </w:t>
      </w:r>
      <w:proofErr w:type="spellStart"/>
      <w:r w:rsidRPr="000402D6">
        <w:rPr>
          <w:rFonts w:ascii="Invesco Interstate Light" w:eastAsia="MS Mincho" w:hAnsi="Invesco Interstate Light"/>
          <w:b/>
          <w:bCs/>
          <w:sz w:val="22"/>
          <w:szCs w:val="22"/>
          <w:lang w:eastAsia="ja-JP"/>
        </w:rPr>
        <w:t>Syms</w:t>
      </w:r>
      <w:proofErr w:type="spellEnd"/>
    </w:p>
    <w:p w14:paraId="59501862" w14:textId="77777777" w:rsidR="00DF6C0B" w:rsidRPr="00DF6C0B" w:rsidRDefault="00DF6C0B" w:rsidP="00DF6C0B">
      <w:pPr>
        <w:spacing w:line="360" w:lineRule="auto"/>
        <w:jc w:val="both"/>
        <w:rPr>
          <w:rFonts w:ascii="Invesco Interstate Light" w:eastAsia="MS Mincho" w:hAnsi="Invesco Interstate Light"/>
          <w:b/>
          <w:bCs/>
          <w:sz w:val="22"/>
          <w:szCs w:val="22"/>
          <w:lang w:eastAsia="ja-JP"/>
        </w:rPr>
      </w:pPr>
    </w:p>
    <w:p w14:paraId="58FD9999" w14:textId="6F133163" w:rsidR="000402D6" w:rsidRPr="000402D6" w:rsidRDefault="000402D6" w:rsidP="000402D6">
      <w:pPr>
        <w:numPr>
          <w:ilvl w:val="0"/>
          <w:numId w:val="45"/>
        </w:num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 xml:space="preserve">Aktivně řízená ETF v posledních letech výrazně rostou. Růst je podporovaný novými </w:t>
      </w:r>
      <w:r w:rsidR="00915512" w:rsidRPr="000402D6">
        <w:rPr>
          <w:rFonts w:ascii="Invesco Interstate Light" w:eastAsia="MS Mincho" w:hAnsi="Invesco Interstate Light"/>
          <w:b/>
          <w:bCs/>
          <w:sz w:val="22"/>
          <w:szCs w:val="22"/>
          <w:lang w:eastAsia="ja-JP"/>
        </w:rPr>
        <w:t>strategiemi,</w:t>
      </w:r>
      <w:r w:rsidRPr="000402D6">
        <w:rPr>
          <w:rFonts w:ascii="Invesco Interstate Light" w:eastAsia="MS Mincho" w:hAnsi="Invesco Interstate Light"/>
          <w:b/>
          <w:bCs/>
          <w:sz w:val="22"/>
          <w:szCs w:val="22"/>
          <w:lang w:eastAsia="ja-JP"/>
        </w:rPr>
        <w:t xml:space="preserve"> a především poptávkou investorů, kteří dosud využívali pasivní ETF a nyní rozšiřují své portfolio produktů.</w:t>
      </w:r>
    </w:p>
    <w:p w14:paraId="13FA5814" w14:textId="77777777" w:rsidR="000402D6" w:rsidRPr="000402D6" w:rsidRDefault="000402D6" w:rsidP="000402D6">
      <w:pPr>
        <w:numPr>
          <w:ilvl w:val="0"/>
          <w:numId w:val="45"/>
        </w:num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Aktivní strategie přinášejí příležitosti, zároveň však mohou představovat určité výzvy pro ETF, která jsou založena na každodenní likviditě, transparentnosti a efektivním řízení toků prostředků.</w:t>
      </w:r>
    </w:p>
    <w:p w14:paraId="0611B469" w14:textId="77777777" w:rsidR="000402D6" w:rsidRPr="000402D6" w:rsidRDefault="000402D6" w:rsidP="000402D6">
      <w:pPr>
        <w:numPr>
          <w:ilvl w:val="0"/>
          <w:numId w:val="45"/>
        </w:num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Úvěry investičního stupně jsou oblastí, v níž lze fundamentální aktivní přístup v ETF úspěšně využít, pokud existuje spolupráce mezi aktivním investičním týmem a týmem zaměřeným na ETF.</w:t>
      </w:r>
    </w:p>
    <w:p w14:paraId="36D55DC8" w14:textId="77777777" w:rsidR="00DF6C0B" w:rsidRPr="00DF6C0B" w:rsidRDefault="00DF6C0B" w:rsidP="00DF6C0B">
      <w:pPr>
        <w:spacing w:line="360" w:lineRule="auto"/>
        <w:jc w:val="both"/>
        <w:rPr>
          <w:rFonts w:ascii="Invesco Interstate Light" w:eastAsia="MS Mincho" w:hAnsi="Invesco Interstate Light"/>
          <w:sz w:val="22"/>
          <w:szCs w:val="22"/>
          <w:lang w:eastAsia="ja-JP"/>
        </w:rPr>
      </w:pPr>
    </w:p>
    <w:p w14:paraId="648F5422"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Aktivně řízená ETF rychle vstupují do hlavního proudu evropského trhu. Již nejsou považována pouze za okrajové fondy, ale stále častěji se využívají v diverzifikovaných portfoliích pro alokaci do klíčových segmentů trhu. Objem spravovaných aktiv vzrostl během pouhých tří let do konce června 2026 z 23,1 miliardy USD na 127,3 miliardy USD. To odpovídá anualizovanému tempu růstu téměř 2,5krát vyššímu než u celého trhu ETF. Přestože aktivně řízená ETF stále představují pouze 3,4 % celkových aktiv trhu ETF, domníváme se, že jejich potenciál je větší – včetně fundamentálně zaměřených přístupů, které by mohly představovat další fázi poptávky investorů.</w:t>
      </w:r>
    </w:p>
    <w:p w14:paraId="5034260B"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0682F6C0"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787C3301"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3B22C090"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69057EEF"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3BC1CBC8"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47D32774"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5689BA11"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1FC59D0D"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15C5CD15"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5EE61983"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5483C406" w14:textId="77777777" w:rsidR="00915512" w:rsidRDefault="00915512" w:rsidP="000402D6">
      <w:pPr>
        <w:spacing w:line="360" w:lineRule="auto"/>
        <w:jc w:val="both"/>
        <w:rPr>
          <w:rFonts w:ascii="Invesco Interstate Light" w:eastAsia="MS Mincho" w:hAnsi="Invesco Interstate Light"/>
          <w:b/>
          <w:bCs/>
          <w:sz w:val="22"/>
          <w:szCs w:val="22"/>
          <w:lang w:eastAsia="ja-JP"/>
        </w:rPr>
      </w:pPr>
    </w:p>
    <w:p w14:paraId="699B9775" w14:textId="3C6D9F44" w:rsidR="000402D6" w:rsidRP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Růst aktivně řízených ETF v posledních letech zrychlil</w:t>
      </w:r>
    </w:p>
    <w:p w14:paraId="110E4E0E" w14:textId="77777777" w:rsidR="000402D6" w:rsidRPr="000402D6" w:rsidRDefault="000402D6" w:rsidP="000402D6">
      <w:pPr>
        <w:spacing w:line="360" w:lineRule="auto"/>
        <w:jc w:val="both"/>
        <w:rPr>
          <w:rFonts w:ascii="Invesco Interstate Light" w:eastAsia="MS Mincho" w:hAnsi="Invesco Interstate Light"/>
          <w:i/>
          <w:iCs/>
          <w:sz w:val="22"/>
          <w:szCs w:val="22"/>
          <w:lang w:eastAsia="ja-JP"/>
        </w:rPr>
      </w:pPr>
      <w:r w:rsidRPr="000402D6">
        <w:rPr>
          <w:rFonts w:ascii="Invesco Interstate Light" w:eastAsia="MS Mincho" w:hAnsi="Invesco Interstate Light"/>
          <w:i/>
          <w:iCs/>
          <w:noProof/>
          <w:sz w:val="22"/>
          <w:szCs w:val="22"/>
          <w:lang w:eastAsia="ja-JP"/>
        </w:rPr>
        <w:drawing>
          <wp:inline distT="0" distB="0" distL="0" distR="0" wp14:anchorId="0CF36A38" wp14:editId="713EA9B4">
            <wp:extent cx="5715000" cy="4781550"/>
            <wp:effectExtent l="0" t="0" r="0" b="0"/>
            <wp:docPr id="5829515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51506" name="Obrázek 582951506"/>
                    <pic:cNvPicPr/>
                  </pic:nvPicPr>
                  <pic:blipFill>
                    <a:blip r:embed="rId11">
                      <a:extLst>
                        <a:ext uri="{28A0092B-C50C-407E-A947-70E740481C1C}">
                          <a14:useLocalDpi xmlns:a14="http://schemas.microsoft.com/office/drawing/2010/main" val="0"/>
                        </a:ext>
                      </a:extLst>
                    </a:blip>
                    <a:stretch>
                      <a:fillRect/>
                    </a:stretch>
                  </pic:blipFill>
                  <pic:spPr>
                    <a:xfrm>
                      <a:off x="0" y="0"/>
                      <a:ext cx="5715000" cy="4781550"/>
                    </a:xfrm>
                    <a:prstGeom prst="rect">
                      <a:avLst/>
                    </a:prstGeom>
                  </pic:spPr>
                </pic:pic>
              </a:graphicData>
            </a:graphic>
          </wp:inline>
        </w:drawing>
      </w:r>
    </w:p>
    <w:p w14:paraId="6CD52DCC"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Zdroj: </w:t>
      </w:r>
      <w:proofErr w:type="spellStart"/>
      <w:r w:rsidRPr="000402D6">
        <w:rPr>
          <w:rFonts w:ascii="Invesco Interstate Light" w:eastAsia="MS Mincho" w:hAnsi="Invesco Interstate Light"/>
          <w:sz w:val="22"/>
          <w:szCs w:val="22"/>
          <w:lang w:eastAsia="ja-JP"/>
        </w:rPr>
        <w:t>Invesco</w:t>
      </w:r>
      <w:proofErr w:type="spellEnd"/>
      <w:r w:rsidRPr="000402D6">
        <w:rPr>
          <w:rFonts w:ascii="Invesco Interstate Light" w:eastAsia="MS Mincho" w:hAnsi="Invesco Interstate Light"/>
          <w:sz w:val="22"/>
          <w:szCs w:val="22"/>
          <w:lang w:eastAsia="ja-JP"/>
        </w:rPr>
        <w:t xml:space="preserve"> a </w:t>
      </w:r>
      <w:proofErr w:type="spellStart"/>
      <w:r w:rsidRPr="000402D6">
        <w:rPr>
          <w:rFonts w:ascii="Invesco Interstate Light" w:eastAsia="MS Mincho" w:hAnsi="Invesco Interstate Light"/>
          <w:sz w:val="22"/>
          <w:szCs w:val="22"/>
          <w:lang w:eastAsia="ja-JP"/>
        </w:rPr>
        <w:t>Bloomberg</w:t>
      </w:r>
      <w:proofErr w:type="spellEnd"/>
      <w:r w:rsidRPr="000402D6">
        <w:rPr>
          <w:rFonts w:ascii="Invesco Interstate Light" w:eastAsia="MS Mincho" w:hAnsi="Invesco Interstate Light"/>
          <w:sz w:val="22"/>
          <w:szCs w:val="22"/>
          <w:lang w:eastAsia="ja-JP"/>
        </w:rPr>
        <w:t>, k 29. srpnu 2026</w:t>
      </w:r>
    </w:p>
    <w:p w14:paraId="6A676F9C"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494AEC96"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Data grafu zobrazují vývoj v letech 2017 až 2026. Objem spravovaných aktiv (AUM) je uveden v miliardách USD.</w:t>
      </w:r>
    </w:p>
    <w:p w14:paraId="1319D4BA"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5A630B89"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V Evropě je nyní kotováno 420 aktivně řízených ETF, zatímco před třemi lety jich bylo pouze 71. Nové fondy uvedli na trh jak stávající poskytovatelé ETF, tak „</w:t>
      </w:r>
      <w:proofErr w:type="spellStart"/>
      <w:r w:rsidRPr="000402D6">
        <w:rPr>
          <w:rFonts w:ascii="Invesco Interstate Light" w:eastAsia="MS Mincho" w:hAnsi="Invesco Interstate Light"/>
          <w:sz w:val="22"/>
          <w:szCs w:val="22"/>
          <w:lang w:eastAsia="ja-JP"/>
        </w:rPr>
        <w:t>pure</w:t>
      </w:r>
      <w:proofErr w:type="spellEnd"/>
      <w:r w:rsidRPr="000402D6">
        <w:rPr>
          <w:rFonts w:ascii="Invesco Interstate Light" w:eastAsia="MS Mincho" w:hAnsi="Invesco Interstate Light"/>
          <w:sz w:val="22"/>
          <w:szCs w:val="22"/>
          <w:lang w:eastAsia="ja-JP"/>
        </w:rPr>
        <w:t xml:space="preserve"> play“ aktivní správci, kteří do světa ETF vstoupili nově. Větší a zavedenější poskytovatelé ETF mohou někdy využít osvědčené aktivní strategie z jiných oblastí svého podnikání a následně zapojit odborné znalosti svých ETF specialistů do vývoje produktu, konstrukce portfolia a realizace obchodů tak, aby byla strategie v ETF formátu poskytována efektivně.</w:t>
      </w:r>
    </w:p>
    <w:p w14:paraId="3DED5C10" w14:textId="77777777" w:rsidR="000402D6" w:rsidRDefault="000402D6" w:rsidP="000402D6">
      <w:pPr>
        <w:spacing w:line="360" w:lineRule="auto"/>
        <w:jc w:val="both"/>
        <w:rPr>
          <w:rFonts w:ascii="Invesco Interstate Light" w:eastAsia="MS Mincho" w:hAnsi="Invesco Interstate Light"/>
          <w:b/>
          <w:bCs/>
          <w:sz w:val="22"/>
          <w:szCs w:val="22"/>
          <w:lang w:eastAsia="ja-JP"/>
        </w:rPr>
      </w:pPr>
    </w:p>
    <w:p w14:paraId="24BE66D4" w14:textId="6102A7D4" w:rsidR="000402D6" w:rsidRP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Co je aktivně řízené ETF?</w:t>
      </w:r>
    </w:p>
    <w:p w14:paraId="377BA79C"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Když většina investorů slyší pojem „aktivní“, obvykle si představí tradiční přístup založený na analýze jednotlivých titulů a jejich výběru, kdy konkrétní portfolio manažer využívá své zkušenosti a zdroje s cílem překonat výkonnost trhu. Taková portfolia se často výrazně odchylují od benchmarku, aby tohoto cíle dosáhla.</w:t>
      </w:r>
    </w:p>
    <w:p w14:paraId="32E5BC41"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1DD9E849"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Jde však pouze o jeden typ aktivního přístupu. Aktivní strategie lze definovat šířeji jako cokoli, co není pasivní. To je zvláště relevantní vzhledem k tomu, že ETF jsou známá a využívaná především pro pasivní expozici vůči tržně kapitalizačním („beta“) a „</w:t>
      </w:r>
      <w:proofErr w:type="spellStart"/>
      <w:r w:rsidRPr="000402D6">
        <w:rPr>
          <w:rFonts w:ascii="Invesco Interstate Light" w:eastAsia="MS Mincho" w:hAnsi="Invesco Interstate Light"/>
          <w:sz w:val="22"/>
          <w:szCs w:val="22"/>
          <w:lang w:eastAsia="ja-JP"/>
        </w:rPr>
        <w:t>smart</w:t>
      </w:r>
      <w:proofErr w:type="spellEnd"/>
      <w:r w:rsidRPr="000402D6">
        <w:rPr>
          <w:rFonts w:ascii="Invesco Interstate Light" w:eastAsia="MS Mincho" w:hAnsi="Invesco Interstate Light"/>
          <w:sz w:val="22"/>
          <w:szCs w:val="22"/>
          <w:lang w:eastAsia="ja-JP"/>
        </w:rPr>
        <w:t xml:space="preserve"> beta“ indexům. Aktivní je vše, co stojí mimo tento rámec.</w:t>
      </w:r>
    </w:p>
    <w:p w14:paraId="23512629"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4BB0FF7A"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Pasivní investoři nejprve využívali „pasivně působící“ aktivní ETF</w:t>
      </w:r>
    </w:p>
    <w:p w14:paraId="3B7A942A"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68E82006" w14:textId="0B2B35CA"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Většina poptávky po aktivních ETF přicházela od zkušených investorů do pasivních ETF. Ti se zpočátku zaměřovali na ETF, která přebírají určitou alfa strategii a zároveň uplatňují přísná omezení s cílem minimalizovat odchylku od benchmarku. Dobrým příkladem jsou akciové strategie typu „</w:t>
      </w:r>
      <w:proofErr w:type="spellStart"/>
      <w:r w:rsidRPr="000402D6">
        <w:rPr>
          <w:rFonts w:ascii="Invesco Interstate Light" w:eastAsia="MS Mincho" w:hAnsi="Invesco Interstate Light"/>
          <w:sz w:val="22"/>
          <w:szCs w:val="22"/>
          <w:lang w:eastAsia="ja-JP"/>
        </w:rPr>
        <w:t>core</w:t>
      </w:r>
      <w:proofErr w:type="spellEnd"/>
      <w:r w:rsidRPr="000402D6">
        <w:rPr>
          <w:rFonts w:ascii="Invesco Interstate Light" w:eastAsia="MS Mincho" w:hAnsi="Invesco Interstate Light"/>
          <w:sz w:val="22"/>
          <w:szCs w:val="22"/>
          <w:lang w:eastAsia="ja-JP"/>
        </w:rPr>
        <w:t xml:space="preserve"> plus“ a „</w:t>
      </w:r>
      <w:proofErr w:type="spellStart"/>
      <w:r w:rsidRPr="000402D6">
        <w:rPr>
          <w:rFonts w:ascii="Invesco Interstate Light" w:eastAsia="MS Mincho" w:hAnsi="Invesco Interstate Light"/>
          <w:sz w:val="22"/>
          <w:szCs w:val="22"/>
          <w:lang w:eastAsia="ja-JP"/>
        </w:rPr>
        <w:t>enhanced</w:t>
      </w:r>
      <w:proofErr w:type="spellEnd"/>
      <w:r w:rsidRPr="000402D6">
        <w:rPr>
          <w:rFonts w:ascii="Invesco Interstate Light" w:eastAsia="MS Mincho" w:hAnsi="Invesco Interstate Light"/>
          <w:sz w:val="22"/>
          <w:szCs w:val="22"/>
          <w:lang w:eastAsia="ja-JP"/>
        </w:rPr>
        <w:t xml:space="preserve"> beta“, které často využívají týmy kvantitativních analytiků namísto jediného jmenovaného portfolio manažera.</w:t>
      </w:r>
    </w:p>
    <w:p w14:paraId="1CD6F328"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6FBDA6A9" w14:textId="5BA6056E"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Investoři mohou tyto produkty vyhodnocovat a schvalovat podobným způsobem jako pasivní „</w:t>
      </w:r>
      <w:proofErr w:type="spellStart"/>
      <w:r w:rsidRPr="000402D6">
        <w:rPr>
          <w:rFonts w:ascii="Invesco Interstate Light" w:eastAsia="MS Mincho" w:hAnsi="Invesco Interstate Light"/>
          <w:sz w:val="22"/>
          <w:szCs w:val="22"/>
          <w:lang w:eastAsia="ja-JP"/>
        </w:rPr>
        <w:t>smart</w:t>
      </w:r>
      <w:proofErr w:type="spellEnd"/>
      <w:r w:rsidRPr="000402D6">
        <w:rPr>
          <w:rFonts w:ascii="Invesco Interstate Light" w:eastAsia="MS Mincho" w:hAnsi="Invesco Interstate Light"/>
          <w:sz w:val="22"/>
          <w:szCs w:val="22"/>
          <w:lang w:eastAsia="ja-JP"/>
        </w:rPr>
        <w:t xml:space="preserve"> beta“ strategie. Aktivní prvek strategie je ome</w:t>
      </w:r>
      <w:r>
        <w:rPr>
          <w:rFonts w:ascii="Invesco Interstate Light" w:eastAsia="MS Mincho" w:hAnsi="Invesco Interstate Light"/>
          <w:sz w:val="22"/>
          <w:szCs w:val="22"/>
          <w:lang w:eastAsia="ja-JP"/>
        </w:rPr>
        <w:t>z</w:t>
      </w:r>
      <w:r w:rsidRPr="000402D6">
        <w:rPr>
          <w:rFonts w:ascii="Invesco Interstate Light" w:eastAsia="MS Mincho" w:hAnsi="Invesco Interstate Light"/>
          <w:sz w:val="22"/>
          <w:szCs w:val="22"/>
          <w:lang w:eastAsia="ja-JP"/>
        </w:rPr>
        <w:t>ený a snáze slučitelný se známým pasivním provozním modelem ETF.</w:t>
      </w:r>
    </w:p>
    <w:p w14:paraId="115116F7"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59AF844C"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Aktivní řízení využívané z jiných důvodů než pro tvorbu alfy</w:t>
      </w:r>
    </w:p>
    <w:p w14:paraId="40F3B8DC"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3D734ED2"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Další oblastí růstu aktivních ETF se staly strategie, u nichž aktivní prvek nebyl primárně zaměřen na tvorbu alfy. Patří sem například strategie využívající deriváty, například opce, k vytváření dodatečného příjmu na podkladovém akciovém indexu. Portfolio manažer se v takovém případě nesoustředí na načasování trhu nebo výběr jednotlivých cenných papírů, ale na řízení složitého portfolia opcí s cílem zajistit vysokou a stabilní úroveň příjmu a zároveň zachovat co největší část expozice vůči podkladovému indexu.</w:t>
      </w:r>
    </w:p>
    <w:p w14:paraId="7F4A6106"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0BA3A7C2"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lastRenderedPageBreak/>
        <w:t xml:space="preserve">Dalším příkladem jsou strategie poskytující expozici vůči komplexním aktivům, což dobře ilustruje nedávný vznik aktivně řízených UCITS ETF zaměřených na CLO (zajištěné úvěrové </w:t>
      </w:r>
      <w:proofErr w:type="spellStart"/>
      <w:r w:rsidRPr="000402D6">
        <w:rPr>
          <w:rFonts w:ascii="Invesco Interstate Light" w:eastAsia="MS Mincho" w:hAnsi="Invesco Interstate Light"/>
          <w:sz w:val="22"/>
          <w:szCs w:val="22"/>
          <w:lang w:eastAsia="ja-JP"/>
        </w:rPr>
        <w:t>obligce</w:t>
      </w:r>
      <w:proofErr w:type="spellEnd"/>
      <w:r w:rsidRPr="000402D6">
        <w:rPr>
          <w:rFonts w:ascii="Invesco Interstate Light" w:eastAsia="MS Mincho" w:hAnsi="Invesco Interstate Light"/>
          <w:sz w:val="22"/>
          <w:szCs w:val="22"/>
          <w:lang w:eastAsia="ja-JP"/>
        </w:rPr>
        <w:t>). Každé CLO je samo o sobě aktivně řízeným portfoliem podkladových úvěrů a největší přidaná hodnota aktivního správce spočívá ve dvou oblastech: za prvé v analýze samotného správce CLO, jeho dosavadních výsledků a způsobu, jakým svá portfolia řídil v minulosti, zejména v období tržního stresu; a za druhé v řízení komplexní obchodní dynamiky CLO tak, aby byla zajištěna likvidita pro investory. Odborné znalosti zde souvisejí více s obchodováním a řízením rizik než se snahou o tvorbu alfy.</w:t>
      </w:r>
    </w:p>
    <w:p w14:paraId="390FFB32"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20676C4F"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Ačkoli jde o strategie, které se od strategií typu </w:t>
      </w:r>
      <w:proofErr w:type="spellStart"/>
      <w:r w:rsidRPr="000402D6">
        <w:rPr>
          <w:rFonts w:ascii="Invesco Interstate Light" w:eastAsia="MS Mincho" w:hAnsi="Invesco Interstate Light"/>
          <w:sz w:val="22"/>
          <w:szCs w:val="22"/>
          <w:lang w:eastAsia="ja-JP"/>
        </w:rPr>
        <w:t>enhanced</w:t>
      </w:r>
      <w:proofErr w:type="spellEnd"/>
      <w:r w:rsidRPr="000402D6">
        <w:rPr>
          <w:rFonts w:ascii="Invesco Interstate Light" w:eastAsia="MS Mincho" w:hAnsi="Invesco Interstate Light"/>
          <w:sz w:val="22"/>
          <w:szCs w:val="22"/>
          <w:lang w:eastAsia="ja-JP"/>
        </w:rPr>
        <w:t xml:space="preserve"> </w:t>
      </w:r>
      <w:proofErr w:type="spellStart"/>
      <w:r w:rsidRPr="000402D6">
        <w:rPr>
          <w:rFonts w:ascii="Invesco Interstate Light" w:eastAsia="MS Mincho" w:hAnsi="Invesco Interstate Light"/>
          <w:sz w:val="22"/>
          <w:szCs w:val="22"/>
          <w:lang w:eastAsia="ja-JP"/>
        </w:rPr>
        <w:t>core</w:t>
      </w:r>
      <w:proofErr w:type="spellEnd"/>
      <w:r w:rsidRPr="000402D6">
        <w:rPr>
          <w:rFonts w:ascii="Invesco Interstate Light" w:eastAsia="MS Mincho" w:hAnsi="Invesco Interstate Light"/>
          <w:sz w:val="22"/>
          <w:szCs w:val="22"/>
          <w:lang w:eastAsia="ja-JP"/>
        </w:rPr>
        <w:t xml:space="preserve"> beta výrazně liší, sdílejí řadu stejných strukturálních a rizikových charakteristik. Jejich známý rámec z pasivního světa navíc usnadňuje jejich přijetí tradičními investory do pasivních ETF.</w:t>
      </w:r>
    </w:p>
    <w:p w14:paraId="52AD01F1"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3AB2DA55"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Další fáze: přijetí fundamentálně aktivních ETF?</w:t>
      </w:r>
    </w:p>
    <w:p w14:paraId="26F0C629"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7A6EBB3A"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Jak jsme již uvedli, hlavními uživateli aktivních ETF byli dosud investoři do pasivních ETF a ti se většinou zaměřovali na strategie, které sdílejí některé charakteristiky s pasivním přístupem. Zajímavé je, že další fáze růstu aktivních ETF by mohla pocházet od typu strategie, který si řada investorů spojuje s aktivním řízením, ale který teprve v poslední době začíná získávat na významu: fundamentální aktivní přístup.</w:t>
      </w:r>
    </w:p>
    <w:p w14:paraId="4F87364A"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0511A3CC"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Z pohledu nabídky mohou fundamentální aktivní strategie pro konstrukci ETF představovat významné výzvy. Ne každá aktivní strategie je pro ETF vhodná. Například strategie, které při tvorbě alfy spoléhají na méně likvidní cenné papíry, nejsou ideálně přizpůsobeny struktuře založené na každodenní likviditě, transparentnosti a efektivním provádění obchodů.</w:t>
      </w:r>
    </w:p>
    <w:p w14:paraId="1178FEBD"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10C5892D"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Fundamentálně aktivní fond je konstruován s očekáváním, že většina investorů v něm zůstane dlouhodobě. Celkové složení portfolia se může v reakci na přítoky a odtoky prostředků mírně měnit – likvidnější investice se nakupují či prodávají okamžitě, zatímco méně likvidní investice se realizují postupně. Menší odtoky prostředků lze často pokrýt z hotovostních pozic fondu.</w:t>
      </w:r>
    </w:p>
    <w:p w14:paraId="210042BF"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052C4271"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To je rozdíl oproti pasivnímu ETF, které potřebuje likvidní portfolio, aby dokázalo vyhovět investorům, kteří chtějí do fondu vstupovat a vystupovat podle aktuálních tržních příležitostí. Portfolio je konstruováno tak, </w:t>
      </w:r>
      <w:r w:rsidRPr="000402D6">
        <w:rPr>
          <w:rFonts w:ascii="Invesco Interstate Light" w:eastAsia="MS Mincho" w:hAnsi="Invesco Interstate Light"/>
          <w:sz w:val="22"/>
          <w:szCs w:val="22"/>
          <w:lang w:eastAsia="ja-JP"/>
        </w:rPr>
        <w:lastRenderedPageBreak/>
        <w:t xml:space="preserve">aby replikovalo benchmark, a proto se nemění. Pokud nedochází k </w:t>
      </w:r>
      <w:proofErr w:type="spellStart"/>
      <w:r w:rsidRPr="000402D6">
        <w:rPr>
          <w:rFonts w:ascii="Invesco Interstate Light" w:eastAsia="MS Mincho" w:hAnsi="Invesco Interstate Light"/>
          <w:sz w:val="22"/>
          <w:szCs w:val="22"/>
          <w:lang w:eastAsia="ja-JP"/>
        </w:rPr>
        <w:t>rebalancování</w:t>
      </w:r>
      <w:proofErr w:type="spellEnd"/>
      <w:r w:rsidRPr="000402D6">
        <w:rPr>
          <w:rFonts w:ascii="Invesco Interstate Light" w:eastAsia="MS Mincho" w:hAnsi="Invesco Interstate Light"/>
          <w:sz w:val="22"/>
          <w:szCs w:val="22"/>
          <w:lang w:eastAsia="ja-JP"/>
        </w:rPr>
        <w:t xml:space="preserve"> indexu, je hlavním každodenním úkolem manažera pasivního ETF efektivně řídit přílivy a odlivy prostředků do fondu, které mohou někdy představovat významnou část celkových aktiv fondu. Související náklady nesou investoři, kteří do fondu vstupují nebo z něj vystupují, takže ostatní investoři nejsou těmito náklady ovlivněni.</w:t>
      </w:r>
    </w:p>
    <w:p w14:paraId="7594F192"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0DFD9A48"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Konstrukce fundamentálně aktivních ETF</w:t>
      </w:r>
    </w:p>
    <w:p w14:paraId="3B734D5B"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55147C98"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Výrazný rozdíl mezi strukturou, funkcí a celkovým obchodním modelem tradičních fundamentálně aktivních podílových fondů a pasivních ETF ukazuje, jaké výzvy konstrukce fundamentálně aktivního ETF přináší. Zároveň vyvolává otázky týkající se vhodného využití a ceny takového nástroje.</w:t>
      </w:r>
    </w:p>
    <w:p w14:paraId="231B0448"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0DFCB527"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915512">
        <w:rPr>
          <w:rFonts w:ascii="Invesco Interstate Light" w:eastAsia="MS Mincho" w:hAnsi="Invesco Interstate Light"/>
          <w:sz w:val="22"/>
          <w:szCs w:val="22"/>
          <w:lang w:eastAsia="ja-JP"/>
        </w:rPr>
        <w:t>Je nutné najít kompromis mezi oběma soubory kritérií. Klíčem je uvědomit si, že aktivní strategie je umístěna uvnitř ETF</w:t>
      </w:r>
      <w:r w:rsidRPr="000402D6">
        <w:rPr>
          <w:rFonts w:ascii="Invesco Interstate Light" w:eastAsia="MS Mincho" w:hAnsi="Invesco Interstate Light"/>
          <w:sz w:val="22"/>
          <w:szCs w:val="22"/>
          <w:lang w:eastAsia="ja-JP"/>
        </w:rPr>
        <w:t xml:space="preserve"> – ETF obal je vnější vrstvou a určuje způsob, jakým produkt komunikuje s trhem. Požadavky ETF proto budou obecně nadřazeny požadavkům samotné strategie.</w:t>
      </w:r>
    </w:p>
    <w:p w14:paraId="6DAAA26B"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32BE5C28"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Řešení: dvě odlišné sady odborných znalostí</w:t>
      </w:r>
    </w:p>
    <w:p w14:paraId="332108B5"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4BE22CD8"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Z hlediska strategie by aktivní ETF mělo ideálně využívat alfa pohled portfolio manažera, ale omezit působnost na soubor dostatečně likvidních aktiv, která splňují požadavky investorů do ETF. V některých případech může jít o celou strategii, v jiných pouze o její část.</w:t>
      </w:r>
    </w:p>
    <w:p w14:paraId="653A4FA0"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3EDF2ACB"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Pokud jde o řízení provozních toků prostředků, klíčem je oddělení dvou odlišných souborů odborných činností:</w:t>
      </w:r>
    </w:p>
    <w:p w14:paraId="12797CCC" w14:textId="77777777" w:rsidR="000402D6" w:rsidRPr="000402D6" w:rsidRDefault="000402D6" w:rsidP="000402D6">
      <w:pPr>
        <w:numPr>
          <w:ilvl w:val="0"/>
          <w:numId w:val="46"/>
        </w:num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b/>
          <w:bCs/>
          <w:sz w:val="22"/>
          <w:szCs w:val="22"/>
          <w:lang w:eastAsia="ja-JP"/>
        </w:rPr>
        <w:t>Tým aktivního řízení</w:t>
      </w:r>
      <w:r w:rsidRPr="000402D6">
        <w:rPr>
          <w:rFonts w:ascii="Invesco Interstate Light" w:eastAsia="MS Mincho" w:hAnsi="Invesco Interstate Light"/>
          <w:sz w:val="22"/>
          <w:szCs w:val="22"/>
          <w:lang w:eastAsia="ja-JP"/>
        </w:rPr>
        <w:t xml:space="preserve"> se soustředí na výzkum, výběr cenných papírů a konstrukci portfolia.</w:t>
      </w:r>
    </w:p>
    <w:p w14:paraId="59B569C9" w14:textId="77777777" w:rsidR="000402D6" w:rsidRDefault="000402D6" w:rsidP="000402D6">
      <w:pPr>
        <w:numPr>
          <w:ilvl w:val="0"/>
          <w:numId w:val="46"/>
        </w:num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b/>
          <w:bCs/>
          <w:sz w:val="22"/>
          <w:szCs w:val="22"/>
          <w:lang w:eastAsia="ja-JP"/>
        </w:rPr>
        <w:t>ETF specialisté</w:t>
      </w:r>
      <w:r w:rsidRPr="000402D6">
        <w:rPr>
          <w:rFonts w:ascii="Invesco Interstate Light" w:eastAsia="MS Mincho" w:hAnsi="Invesco Interstate Light"/>
          <w:sz w:val="22"/>
          <w:szCs w:val="22"/>
          <w:lang w:eastAsia="ja-JP"/>
        </w:rPr>
        <w:t xml:space="preserve"> se soustředí na tvorbu a odkup podílů, realizaci obchodů a komunikaci s autorizovanými účastníky a tvůrci trhu.</w:t>
      </w:r>
    </w:p>
    <w:p w14:paraId="69190B37" w14:textId="77777777" w:rsidR="000402D6" w:rsidRPr="000402D6" w:rsidRDefault="000402D6" w:rsidP="000402D6">
      <w:pPr>
        <w:spacing w:line="360" w:lineRule="auto"/>
        <w:ind w:left="720"/>
        <w:jc w:val="both"/>
        <w:rPr>
          <w:rFonts w:ascii="Invesco Interstate Light" w:eastAsia="MS Mincho" w:hAnsi="Invesco Interstate Light"/>
          <w:sz w:val="22"/>
          <w:szCs w:val="22"/>
          <w:lang w:eastAsia="ja-JP"/>
        </w:rPr>
      </w:pPr>
    </w:p>
    <w:p w14:paraId="1FA82F65"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Tento hybridní model připomíná dělbu práce, kterou vytváří centralizovaný </w:t>
      </w:r>
      <w:proofErr w:type="spellStart"/>
      <w:r w:rsidRPr="000402D6">
        <w:rPr>
          <w:rFonts w:ascii="Invesco Interstate Light" w:eastAsia="MS Mincho" w:hAnsi="Invesco Interstate Light"/>
          <w:sz w:val="22"/>
          <w:szCs w:val="22"/>
          <w:lang w:eastAsia="ja-JP"/>
        </w:rPr>
        <w:t>dealing</w:t>
      </w:r>
      <w:proofErr w:type="spellEnd"/>
      <w:r w:rsidRPr="000402D6">
        <w:rPr>
          <w:rFonts w:ascii="Invesco Interstate Light" w:eastAsia="MS Mincho" w:hAnsi="Invesco Interstate Light"/>
          <w:sz w:val="22"/>
          <w:szCs w:val="22"/>
          <w:lang w:eastAsia="ja-JP"/>
        </w:rPr>
        <w:t xml:space="preserve"> </w:t>
      </w:r>
      <w:proofErr w:type="spellStart"/>
      <w:r w:rsidRPr="000402D6">
        <w:rPr>
          <w:rFonts w:ascii="Invesco Interstate Light" w:eastAsia="MS Mincho" w:hAnsi="Invesco Interstate Light"/>
          <w:sz w:val="22"/>
          <w:szCs w:val="22"/>
          <w:lang w:eastAsia="ja-JP"/>
        </w:rPr>
        <w:t>desk</w:t>
      </w:r>
      <w:proofErr w:type="spellEnd"/>
      <w:r w:rsidRPr="000402D6">
        <w:rPr>
          <w:rFonts w:ascii="Invesco Interstate Light" w:eastAsia="MS Mincho" w:hAnsi="Invesco Interstate Light"/>
          <w:sz w:val="22"/>
          <w:szCs w:val="22"/>
          <w:lang w:eastAsia="ja-JP"/>
        </w:rPr>
        <w:t>: rozhodnout, co vlastnit, je něco jiného než efektivně realizovat transakce. U aktivně řízeného ETF s pevným výnosem může aktivní tým definovat požadované portfolio a dluhopisy, které je ochoten přijmout nebo dodat, zatímco ETF tým řídí každodenní toky prostředků s využitím zavedené infrastruktury a tržních vztahů.</w:t>
      </w:r>
    </w:p>
    <w:p w14:paraId="391F675A"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122EF456"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ETF s pevným výnosem mohou při primárních operacích rovněž využívat individuálně sjednávané koše cenných papírů („</w:t>
      </w:r>
      <w:proofErr w:type="spellStart"/>
      <w:r w:rsidRPr="000402D6">
        <w:rPr>
          <w:rFonts w:ascii="Invesco Interstate Light" w:eastAsia="MS Mincho" w:hAnsi="Invesco Interstate Light"/>
          <w:sz w:val="22"/>
          <w:szCs w:val="22"/>
          <w:lang w:eastAsia="ja-JP"/>
        </w:rPr>
        <w:t>custom</w:t>
      </w:r>
      <w:proofErr w:type="spellEnd"/>
      <w:r w:rsidRPr="000402D6">
        <w:rPr>
          <w:rFonts w:ascii="Invesco Interstate Light" w:eastAsia="MS Mincho" w:hAnsi="Invesco Interstate Light"/>
          <w:sz w:val="22"/>
          <w:szCs w:val="22"/>
          <w:lang w:eastAsia="ja-JP"/>
        </w:rPr>
        <w:t xml:space="preserve"> </w:t>
      </w:r>
      <w:proofErr w:type="spellStart"/>
      <w:r w:rsidRPr="000402D6">
        <w:rPr>
          <w:rFonts w:ascii="Invesco Interstate Light" w:eastAsia="MS Mincho" w:hAnsi="Invesco Interstate Light"/>
          <w:sz w:val="22"/>
          <w:szCs w:val="22"/>
          <w:lang w:eastAsia="ja-JP"/>
        </w:rPr>
        <w:t>baskets</w:t>
      </w:r>
      <w:proofErr w:type="spellEnd"/>
      <w:r w:rsidRPr="000402D6">
        <w:rPr>
          <w:rFonts w:ascii="Invesco Interstate Light" w:eastAsia="MS Mincho" w:hAnsi="Invesco Interstate Light"/>
          <w:sz w:val="22"/>
          <w:szCs w:val="22"/>
          <w:lang w:eastAsia="ja-JP"/>
        </w:rPr>
        <w:t>“). U pasivního portfolia se optimalizace obecně snaží zachovat nebo zlepšit sledování benchmarku. U fundamentálně aktivního portfolia mohou aktivní manažeři místo toho řídit realizaci prostřednictvím seznamů dluhopisů, které jsou připraveni nakoupit, ponechat nebo prodat. Pokud jsou tyto mechanismy správně využity, stávají se toky prostředků nástrojem implementace strategie, nikoli rozptýlením od tvorby alfy.</w:t>
      </w:r>
    </w:p>
    <w:p w14:paraId="3F0F6C18"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2E603506"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Pokud jde o cenu, ta je do značné míry vyřešena již samotnou strukturou. Pokud je aktivní strategie již navržena tak, aby byla likvidní, je k jejímu umístění do ETF zapotřebí jen málo úprav, což odstraňuje důvod pro odlišné oceňování. Pokud je však aktivní ETF likvidnější variantou strategie aktivního podílového fondu, pravděpodobně zachytí pouze část skutečného alfa potenciálu manažera. Kompromisem za nižší potenciál alfy je nižší cena ETF.</w:t>
      </w:r>
    </w:p>
    <w:p w14:paraId="5D241B7F"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3BDF0058"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Jak lze fundamentálně aktivní ETF s pevným výnosem využít v portfoliu?</w:t>
      </w:r>
    </w:p>
    <w:p w14:paraId="211EA55B"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751D0FA6"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Zaprvé mohou investorům, kteří využívají výhradně ETF, poskytnout přístup k fundamentálnímu výzkumu a odborným znalostem v oblasti úvěrových investic, aniž by museli opustit provozní model, který již znají. To může být relevantní pro investory hledající aktivní alternativu ke své </w:t>
      </w:r>
      <w:proofErr w:type="spellStart"/>
      <w:r w:rsidRPr="000402D6">
        <w:rPr>
          <w:rFonts w:ascii="Invesco Interstate Light" w:eastAsia="MS Mincho" w:hAnsi="Invesco Interstate Light"/>
          <w:sz w:val="22"/>
          <w:szCs w:val="22"/>
          <w:lang w:eastAsia="ja-JP"/>
        </w:rPr>
        <w:t>core</w:t>
      </w:r>
      <w:proofErr w:type="spellEnd"/>
      <w:r w:rsidRPr="000402D6">
        <w:rPr>
          <w:rFonts w:ascii="Invesco Interstate Light" w:eastAsia="MS Mincho" w:hAnsi="Invesco Interstate Light"/>
          <w:sz w:val="22"/>
          <w:szCs w:val="22"/>
          <w:lang w:eastAsia="ja-JP"/>
        </w:rPr>
        <w:t xml:space="preserve"> alokaci v určitých oblastech, například aktivní expozici vůči firemním dluhopisům v investičním stupni denominovaným v eurech.</w:t>
      </w:r>
    </w:p>
    <w:p w14:paraId="18DB5E7F"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76EE51C8" w14:textId="3D78582C"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Zadruhé může aktivní dluhopisové ETF doplnit stávající aktivně řízený podílový fond. Investor může například zachovat strategickou alokaci do širší strategie podílového fondu a zároveň využívat ETF jako likvidnější složku pro řízení peněžních toků nebo</w:t>
      </w:r>
      <w:r w:rsidR="00B60DF6">
        <w:rPr>
          <w:rFonts w:ascii="Invesco Interstate Light" w:eastAsia="MS Mincho" w:hAnsi="Invesco Interstate Light"/>
          <w:sz w:val="22"/>
          <w:szCs w:val="22"/>
          <w:lang w:eastAsia="ja-JP"/>
        </w:rPr>
        <w:t xml:space="preserve"> další</w:t>
      </w:r>
      <w:r w:rsidRPr="000402D6">
        <w:rPr>
          <w:rFonts w:ascii="Invesco Interstate Light" w:eastAsia="MS Mincho" w:hAnsi="Invesco Interstate Light"/>
          <w:sz w:val="22"/>
          <w:szCs w:val="22"/>
          <w:lang w:eastAsia="ja-JP"/>
        </w:rPr>
        <w:t xml:space="preserve"> taktické úpravy. Pokud oba nástroje sledují v zásadě stejnou investiční filozofii, může to omezit nesoulad stylu, který vzniká v případě, kdy je likvidní část portfolia držena v pasivní expozici.</w:t>
      </w:r>
    </w:p>
    <w:p w14:paraId="4655129A"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2FC456E0"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A konečně může aktivní ETF pomoci aktivně řízenému podílovému fondu efektivněji spravovat zbytkovou hotovost, pokud jsou oba nástroje vzájemně sladěny. Namísto držení neinvestované hotovosti nebo obchodování s velkým množstvím podkladových dluhopisů kvůli každodenním potřebám likvidity může manažer využít ETF jako likvidní vyjádření stejné strategie.</w:t>
      </w:r>
    </w:p>
    <w:p w14:paraId="729C651B"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5392DA3C" w14:textId="079AEDC1" w:rsidR="000402D6" w:rsidRPr="00915512" w:rsidRDefault="00915512" w:rsidP="000402D6">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t xml:space="preserve">Společnost </w:t>
      </w:r>
      <w:proofErr w:type="spellStart"/>
      <w:r w:rsidR="000402D6" w:rsidRPr="000402D6">
        <w:rPr>
          <w:rFonts w:ascii="Invesco Interstate Light" w:eastAsia="MS Mincho" w:hAnsi="Invesco Interstate Light"/>
          <w:sz w:val="22"/>
          <w:szCs w:val="22"/>
          <w:lang w:eastAsia="ja-JP"/>
        </w:rPr>
        <w:t>Invesco</w:t>
      </w:r>
      <w:proofErr w:type="spellEnd"/>
      <w:r w:rsidR="000402D6" w:rsidRPr="000402D6">
        <w:rPr>
          <w:rFonts w:ascii="Invesco Interstate Light" w:eastAsia="MS Mincho" w:hAnsi="Invesco Interstate Light"/>
          <w:sz w:val="22"/>
          <w:szCs w:val="22"/>
          <w:lang w:eastAsia="ja-JP"/>
        </w:rPr>
        <w:t xml:space="preserve"> má dlouhou historii v oblasti aktivně řízených fondů, s rozsáhlými globálními zdroji a specializovanými výzkumnými a investičními týmy poskytujícími odborné znalosti v oblasti pevných výnosů. </w:t>
      </w:r>
      <w:r w:rsidRPr="00915512">
        <w:rPr>
          <w:rFonts w:ascii="Invesco Interstate Light" w:eastAsia="MS Mincho" w:hAnsi="Invesco Interstate Light"/>
          <w:i/>
          <w:iCs/>
          <w:sz w:val="22"/>
          <w:szCs w:val="22"/>
          <w:lang w:eastAsia="ja-JP"/>
        </w:rPr>
        <w:t>„</w:t>
      </w:r>
      <w:r w:rsidR="000402D6" w:rsidRPr="00915512">
        <w:rPr>
          <w:rFonts w:ascii="Invesco Interstate Light" w:eastAsia="MS Mincho" w:hAnsi="Invesco Interstate Light"/>
          <w:i/>
          <w:iCs/>
          <w:sz w:val="22"/>
          <w:szCs w:val="22"/>
          <w:lang w:eastAsia="ja-JP"/>
        </w:rPr>
        <w:t>Investorům nabízíme řešení prostřednictvím vysoce efektivní ETF platformy již téměř čtvrt století; v současnosti globálně spravujeme 1,2 bilionu USD v aktivech ETF a aktivní ETF nabízíme více než 20 let.</w:t>
      </w:r>
      <w:r w:rsidRPr="00915512">
        <w:rPr>
          <w:rFonts w:ascii="Invesco Interstate Light" w:eastAsia="MS Mincho" w:hAnsi="Invesco Interstate Light"/>
          <w:i/>
          <w:iCs/>
          <w:sz w:val="22"/>
          <w:szCs w:val="22"/>
          <w:lang w:eastAsia="ja-JP"/>
        </w:rPr>
        <w:t xml:space="preserve"> </w:t>
      </w:r>
      <w:r w:rsidR="000402D6" w:rsidRPr="00915512">
        <w:rPr>
          <w:rFonts w:ascii="Invesco Interstate Light" w:eastAsia="MS Mincho" w:hAnsi="Invesco Interstate Light"/>
          <w:i/>
          <w:iCs/>
          <w:sz w:val="22"/>
          <w:szCs w:val="22"/>
          <w:lang w:eastAsia="ja-JP"/>
        </w:rPr>
        <w:t xml:space="preserve">Naše nabídka aktivních ETF zahrnuje přední expozice </w:t>
      </w:r>
      <w:r w:rsidRPr="00915512">
        <w:rPr>
          <w:rFonts w:ascii="Invesco Interstate Light" w:eastAsia="MS Mincho" w:hAnsi="Invesco Interstate Light"/>
          <w:i/>
          <w:iCs/>
          <w:sz w:val="22"/>
          <w:szCs w:val="22"/>
          <w:lang w:eastAsia="ja-JP"/>
        </w:rPr>
        <w:t xml:space="preserve">na </w:t>
      </w:r>
      <w:r w:rsidR="000402D6" w:rsidRPr="00915512">
        <w:rPr>
          <w:rFonts w:ascii="Invesco Interstate Light" w:eastAsia="MS Mincho" w:hAnsi="Invesco Interstate Light"/>
          <w:i/>
          <w:iCs/>
          <w:sz w:val="22"/>
          <w:szCs w:val="22"/>
          <w:lang w:eastAsia="ja-JP"/>
        </w:rPr>
        <w:t>specializovaný</w:t>
      </w:r>
      <w:r w:rsidRPr="00915512">
        <w:rPr>
          <w:rFonts w:ascii="Invesco Interstate Light" w:eastAsia="MS Mincho" w:hAnsi="Invesco Interstate Light"/>
          <w:i/>
          <w:iCs/>
          <w:sz w:val="22"/>
          <w:szCs w:val="22"/>
          <w:lang w:eastAsia="ja-JP"/>
        </w:rPr>
        <w:t>ch</w:t>
      </w:r>
      <w:r w:rsidR="000402D6" w:rsidRPr="00915512">
        <w:rPr>
          <w:rFonts w:ascii="Invesco Interstate Light" w:eastAsia="MS Mincho" w:hAnsi="Invesco Interstate Light"/>
          <w:i/>
          <w:iCs/>
          <w:sz w:val="22"/>
          <w:szCs w:val="22"/>
          <w:lang w:eastAsia="ja-JP"/>
        </w:rPr>
        <w:t xml:space="preserve"> segment</w:t>
      </w:r>
      <w:r w:rsidRPr="00915512">
        <w:rPr>
          <w:rFonts w:ascii="Invesco Interstate Light" w:eastAsia="MS Mincho" w:hAnsi="Invesco Interstate Light"/>
          <w:i/>
          <w:iCs/>
          <w:sz w:val="22"/>
          <w:szCs w:val="22"/>
          <w:lang w:eastAsia="ja-JP"/>
        </w:rPr>
        <w:t>ech</w:t>
      </w:r>
      <w:r w:rsidR="000402D6" w:rsidRPr="00915512">
        <w:rPr>
          <w:rFonts w:ascii="Invesco Interstate Light" w:eastAsia="MS Mincho" w:hAnsi="Invesco Interstate Light"/>
          <w:i/>
          <w:iCs/>
          <w:sz w:val="22"/>
          <w:szCs w:val="22"/>
          <w:lang w:eastAsia="ja-JP"/>
        </w:rPr>
        <w:t xml:space="preserve"> trhu s pevným výnosem, jako jsou CLO, i vůči širším třídám aktiv, například firemním dluhopisům v investičním stupni denominovaným v</w:t>
      </w:r>
      <w:r w:rsidRPr="00915512">
        <w:rPr>
          <w:rFonts w:ascii="Invesco Interstate Light" w:eastAsia="MS Mincho" w:hAnsi="Invesco Interstate Light"/>
          <w:i/>
          <w:iCs/>
          <w:sz w:val="22"/>
          <w:szCs w:val="22"/>
          <w:lang w:eastAsia="ja-JP"/>
        </w:rPr>
        <w:t> </w:t>
      </w:r>
      <w:r w:rsidR="000402D6" w:rsidRPr="00915512">
        <w:rPr>
          <w:rFonts w:ascii="Invesco Interstate Light" w:eastAsia="MS Mincho" w:hAnsi="Invesco Interstate Light"/>
          <w:i/>
          <w:iCs/>
          <w:sz w:val="22"/>
          <w:szCs w:val="22"/>
          <w:lang w:eastAsia="ja-JP"/>
        </w:rPr>
        <w:t>eurech</w:t>
      </w:r>
      <w:r w:rsidRPr="00915512">
        <w:rPr>
          <w:rFonts w:ascii="Invesco Interstate Light" w:eastAsia="MS Mincho" w:hAnsi="Invesco Interstate Light"/>
          <w:sz w:val="22"/>
          <w:szCs w:val="22"/>
          <w:lang w:eastAsia="ja-JP"/>
        </w:rPr>
        <w:t xml:space="preserve">,“ vysvětluje </w:t>
      </w:r>
      <w:r w:rsidRPr="00915512">
        <w:rPr>
          <w:rFonts w:ascii="Invesco Interstate Light" w:eastAsia="MS Mincho" w:hAnsi="Invesco Interstate Light"/>
          <w:sz w:val="22"/>
          <w:szCs w:val="22"/>
          <w:lang w:eastAsia="ja-JP"/>
        </w:rPr>
        <w:t xml:space="preserve">Matthew </w:t>
      </w:r>
      <w:proofErr w:type="spellStart"/>
      <w:r w:rsidRPr="00915512">
        <w:rPr>
          <w:rFonts w:ascii="Invesco Interstate Light" w:eastAsia="MS Mincho" w:hAnsi="Invesco Interstate Light"/>
          <w:sz w:val="22"/>
          <w:szCs w:val="22"/>
          <w:lang w:eastAsia="ja-JP"/>
        </w:rPr>
        <w:t>Tagliani</w:t>
      </w:r>
      <w:proofErr w:type="spellEnd"/>
      <w:r>
        <w:rPr>
          <w:rFonts w:ascii="Invesco Interstate Light" w:eastAsia="MS Mincho" w:hAnsi="Invesco Interstate Light"/>
          <w:sz w:val="22"/>
          <w:szCs w:val="22"/>
          <w:lang w:eastAsia="ja-JP"/>
        </w:rPr>
        <w:t xml:space="preserve">, vedoucí produktů z oblasti EMEA, společnosti </w:t>
      </w:r>
      <w:proofErr w:type="spellStart"/>
      <w:r>
        <w:rPr>
          <w:rFonts w:ascii="Invesco Interstate Light" w:eastAsia="MS Mincho" w:hAnsi="Invesco Interstate Light"/>
          <w:sz w:val="22"/>
          <w:szCs w:val="22"/>
          <w:lang w:eastAsia="ja-JP"/>
        </w:rPr>
        <w:t>Invesco</w:t>
      </w:r>
      <w:proofErr w:type="spellEnd"/>
      <w:r>
        <w:rPr>
          <w:rFonts w:ascii="Invesco Interstate Light" w:eastAsia="MS Mincho" w:hAnsi="Invesco Interstate Light"/>
          <w:sz w:val="22"/>
          <w:szCs w:val="22"/>
          <w:lang w:eastAsia="ja-JP"/>
        </w:rPr>
        <w:t>,</w:t>
      </w:r>
    </w:p>
    <w:p w14:paraId="05992B83"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43CB09C9" w14:textId="0EBCFFAB" w:rsidR="000402D6" w:rsidRDefault="00915512" w:rsidP="000402D6">
      <w:pPr>
        <w:spacing w:line="360" w:lineRule="auto"/>
        <w:jc w:val="both"/>
        <w:rPr>
          <w:rFonts w:ascii="Invesco Interstate Light" w:eastAsia="MS Mincho" w:hAnsi="Invesco Interstate Light"/>
          <w:sz w:val="22"/>
          <w:szCs w:val="22"/>
          <w:lang w:eastAsia="ja-JP"/>
        </w:rPr>
      </w:pPr>
      <w:proofErr w:type="spellStart"/>
      <w:r>
        <w:rPr>
          <w:rFonts w:ascii="Invesco Interstate Light" w:eastAsia="MS Mincho" w:hAnsi="Invesco Interstate Light"/>
          <w:sz w:val="22"/>
          <w:szCs w:val="22"/>
          <w:lang w:eastAsia="ja-JP"/>
        </w:rPr>
        <w:t>Invesco</w:t>
      </w:r>
      <w:proofErr w:type="spellEnd"/>
      <w:r>
        <w:rPr>
          <w:rFonts w:ascii="Invesco Interstate Light" w:eastAsia="MS Mincho" w:hAnsi="Invesco Interstate Light"/>
          <w:sz w:val="22"/>
          <w:szCs w:val="22"/>
          <w:lang w:eastAsia="ja-JP"/>
        </w:rPr>
        <w:t xml:space="preserve"> p</w:t>
      </w:r>
      <w:r w:rsidR="000402D6" w:rsidRPr="000402D6">
        <w:rPr>
          <w:rFonts w:ascii="Invesco Interstate Light" w:eastAsia="MS Mincho" w:hAnsi="Invesco Interstate Light"/>
          <w:sz w:val="22"/>
          <w:szCs w:val="22"/>
          <w:lang w:eastAsia="ja-JP"/>
        </w:rPr>
        <w:t>rovozuje hybridní model, který umožňuje specializovaným týmům soustředit se</w:t>
      </w:r>
      <w:r>
        <w:rPr>
          <w:rFonts w:ascii="Invesco Interstate Light" w:eastAsia="MS Mincho" w:hAnsi="Invesco Interstate Light"/>
          <w:sz w:val="22"/>
          <w:szCs w:val="22"/>
          <w:lang w:eastAsia="ja-JP"/>
        </w:rPr>
        <w:t xml:space="preserve"> jen</w:t>
      </w:r>
      <w:r w:rsidR="000402D6" w:rsidRPr="000402D6">
        <w:rPr>
          <w:rFonts w:ascii="Invesco Interstate Light" w:eastAsia="MS Mincho" w:hAnsi="Invesco Interstate Light"/>
          <w:sz w:val="22"/>
          <w:szCs w:val="22"/>
          <w:lang w:eastAsia="ja-JP"/>
        </w:rPr>
        <w:t xml:space="preserve"> </w:t>
      </w:r>
      <w:r>
        <w:rPr>
          <w:rFonts w:ascii="Invesco Interstate Light" w:eastAsia="MS Mincho" w:hAnsi="Invesco Interstate Light"/>
          <w:sz w:val="22"/>
          <w:szCs w:val="22"/>
          <w:lang w:eastAsia="ja-JP"/>
        </w:rPr>
        <w:t xml:space="preserve">na </w:t>
      </w:r>
      <w:r w:rsidR="000402D6" w:rsidRPr="000402D6">
        <w:rPr>
          <w:rFonts w:ascii="Invesco Interstate Light" w:eastAsia="MS Mincho" w:hAnsi="Invesco Interstate Light"/>
          <w:sz w:val="22"/>
          <w:szCs w:val="22"/>
          <w:lang w:eastAsia="ja-JP"/>
        </w:rPr>
        <w:t xml:space="preserve">odbornost bez rozptylování. Manažeři aktivně řízených portfolií s pevným výnosem se mohou zaměřit na konstrukci svých portfolií, zatímco implementace strategie a efektivní řízení toků prostředků jsou delegovány na ETF specialisty. </w:t>
      </w:r>
    </w:p>
    <w:p w14:paraId="50710D3A"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5F4343A0" w14:textId="77777777" w:rsidR="000402D6" w:rsidRDefault="000402D6" w:rsidP="000402D6">
      <w:pPr>
        <w:spacing w:line="360" w:lineRule="auto"/>
        <w:jc w:val="both"/>
        <w:rPr>
          <w:rFonts w:ascii="Invesco Interstate Light" w:eastAsia="MS Mincho" w:hAnsi="Invesco Interstate Light"/>
          <w:b/>
          <w:bCs/>
          <w:sz w:val="22"/>
          <w:szCs w:val="22"/>
          <w:lang w:eastAsia="ja-JP"/>
        </w:rPr>
      </w:pPr>
      <w:r w:rsidRPr="000402D6">
        <w:rPr>
          <w:rFonts w:ascii="Invesco Interstate Light" w:eastAsia="MS Mincho" w:hAnsi="Invesco Interstate Light"/>
          <w:b/>
          <w:bCs/>
          <w:sz w:val="22"/>
          <w:szCs w:val="22"/>
          <w:lang w:eastAsia="ja-JP"/>
        </w:rPr>
        <w:t>Závěr: ETF přinášející vyšší standard aktivního rozhodování</w:t>
      </w:r>
    </w:p>
    <w:p w14:paraId="7964B616" w14:textId="77777777" w:rsidR="000402D6" w:rsidRPr="000402D6" w:rsidRDefault="000402D6" w:rsidP="000402D6">
      <w:pPr>
        <w:spacing w:line="360" w:lineRule="auto"/>
        <w:jc w:val="both"/>
        <w:rPr>
          <w:rFonts w:ascii="Invesco Interstate Light" w:eastAsia="MS Mincho" w:hAnsi="Invesco Interstate Light"/>
          <w:b/>
          <w:bCs/>
          <w:sz w:val="22"/>
          <w:szCs w:val="22"/>
          <w:lang w:eastAsia="ja-JP"/>
        </w:rPr>
      </w:pPr>
    </w:p>
    <w:p w14:paraId="328648A3" w14:textId="77777777"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Aktivně řízená ETF s pevným výnosem nejsou ze své podstaty </w:t>
      </w:r>
      <w:proofErr w:type="spellStart"/>
      <w:r w:rsidRPr="000402D6">
        <w:rPr>
          <w:rFonts w:ascii="Invesco Interstate Light" w:eastAsia="MS Mincho" w:hAnsi="Invesco Interstate Light"/>
          <w:sz w:val="22"/>
          <w:szCs w:val="22"/>
          <w:lang w:eastAsia="ja-JP"/>
        </w:rPr>
        <w:t>core</w:t>
      </w:r>
      <w:proofErr w:type="spellEnd"/>
      <w:r w:rsidRPr="000402D6">
        <w:rPr>
          <w:rFonts w:ascii="Invesco Interstate Light" w:eastAsia="MS Mincho" w:hAnsi="Invesco Interstate Light"/>
          <w:sz w:val="22"/>
          <w:szCs w:val="22"/>
          <w:lang w:eastAsia="ja-JP"/>
        </w:rPr>
        <w:t xml:space="preserve"> alokací a pro ETF není vhodná každá fundamentální strategie. Nejlepšími kandidáty jsou strategie, u nichž lze výzkumné poznatky vyjádřit prostřednictvím dostatečně likvidních cenných papírů a kde může manažer spolupracovat se zkušeným ETF týmem, aniž by tím byl ohrožen investiční cíl.</w:t>
      </w:r>
    </w:p>
    <w:p w14:paraId="4E0F650D"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649D6430" w14:textId="5C62C0E8" w:rsidR="000402D6" w:rsidRDefault="000402D6" w:rsidP="000402D6">
      <w:pPr>
        <w:spacing w:line="360" w:lineRule="auto"/>
        <w:jc w:val="both"/>
        <w:rPr>
          <w:rFonts w:ascii="Invesco Interstate Light" w:eastAsia="MS Mincho" w:hAnsi="Invesco Interstate Light"/>
          <w:sz w:val="22"/>
          <w:szCs w:val="22"/>
          <w:lang w:eastAsia="ja-JP"/>
        </w:rPr>
      </w:pPr>
      <w:r w:rsidRPr="000402D6">
        <w:rPr>
          <w:rFonts w:ascii="Invesco Interstate Light" w:eastAsia="MS Mincho" w:hAnsi="Invesco Interstate Light"/>
          <w:sz w:val="22"/>
          <w:szCs w:val="22"/>
          <w:lang w:eastAsia="ja-JP"/>
        </w:rPr>
        <w:t xml:space="preserve">Pokud jsou tyto podmínky splněny, ETF </w:t>
      </w:r>
      <w:r w:rsidR="00B60DF6">
        <w:rPr>
          <w:rFonts w:ascii="Invesco Interstate Light" w:eastAsia="MS Mincho" w:hAnsi="Invesco Interstate Light"/>
          <w:sz w:val="22"/>
          <w:szCs w:val="22"/>
          <w:lang w:eastAsia="ja-JP"/>
        </w:rPr>
        <w:t>„</w:t>
      </w:r>
      <w:r w:rsidRPr="000402D6">
        <w:rPr>
          <w:rFonts w:ascii="Invesco Interstate Light" w:eastAsia="MS Mincho" w:hAnsi="Invesco Interstate Light"/>
          <w:sz w:val="22"/>
          <w:szCs w:val="22"/>
          <w:lang w:eastAsia="ja-JP"/>
        </w:rPr>
        <w:t>oba</w:t>
      </w:r>
      <w:r w:rsidR="00B60DF6">
        <w:rPr>
          <w:rFonts w:ascii="Invesco Interstate Light" w:eastAsia="MS Mincho" w:hAnsi="Invesco Interstate Light"/>
          <w:sz w:val="22"/>
          <w:szCs w:val="22"/>
          <w:lang w:eastAsia="ja-JP"/>
        </w:rPr>
        <w:t xml:space="preserve">l“ </w:t>
      </w:r>
      <w:r w:rsidRPr="000402D6">
        <w:rPr>
          <w:rFonts w:ascii="Invesco Interstate Light" w:eastAsia="MS Mincho" w:hAnsi="Invesco Interstate Light"/>
          <w:sz w:val="22"/>
          <w:szCs w:val="22"/>
          <w:lang w:eastAsia="ja-JP"/>
        </w:rPr>
        <w:t>nemusí aktivní řízení oslabovat. Naopak může přinést užitečn</w:t>
      </w:r>
      <w:r w:rsidR="00B60DF6">
        <w:rPr>
          <w:rFonts w:ascii="Invesco Interstate Light" w:eastAsia="MS Mincho" w:hAnsi="Invesco Interstate Light"/>
          <w:sz w:val="22"/>
          <w:szCs w:val="22"/>
          <w:lang w:eastAsia="ja-JP"/>
        </w:rPr>
        <w:t>é věci</w:t>
      </w:r>
      <w:r w:rsidRPr="000402D6">
        <w:rPr>
          <w:rFonts w:ascii="Invesco Interstate Light" w:eastAsia="MS Mincho" w:hAnsi="Invesco Interstate Light"/>
          <w:sz w:val="22"/>
          <w:szCs w:val="22"/>
          <w:lang w:eastAsia="ja-JP"/>
        </w:rPr>
        <w:t>: jasně definovaný likvidní investiční prostor, explicitní konstrukci portfolia, transparentní implementaci a robustní proces pro každodenní řízení toků prostředků. Pro profesionální investory tak vzniká praktický kompromis – fundamentální odbornost v oblasti dluhopisů poskytovaná prostřednictvím efektivního a známého nástroje pro správu portfolia.</w:t>
      </w:r>
    </w:p>
    <w:p w14:paraId="24D66A76" w14:textId="77777777" w:rsidR="000402D6" w:rsidRPr="000402D6" w:rsidRDefault="000402D6" w:rsidP="000402D6">
      <w:pPr>
        <w:spacing w:line="360" w:lineRule="auto"/>
        <w:jc w:val="both"/>
        <w:rPr>
          <w:rFonts w:ascii="Invesco Interstate Light" w:eastAsia="MS Mincho" w:hAnsi="Invesco Interstate Light"/>
          <w:sz w:val="22"/>
          <w:szCs w:val="22"/>
          <w:lang w:eastAsia="ja-JP"/>
        </w:rPr>
      </w:pPr>
    </w:p>
    <w:p w14:paraId="37E9C600" w14:textId="77777777" w:rsidR="00DF6C0B" w:rsidRDefault="00DF6C0B" w:rsidP="00DF6C0B">
      <w:pPr>
        <w:spacing w:line="360" w:lineRule="auto"/>
        <w:jc w:val="both"/>
        <w:rPr>
          <w:rFonts w:ascii="Invesco Interstate Light" w:eastAsia="MS Mincho" w:hAnsi="Invesco Interstate Light"/>
          <w:b/>
          <w:bCs/>
          <w:sz w:val="22"/>
          <w:szCs w:val="22"/>
          <w:lang w:eastAsia="ja-JP"/>
        </w:rPr>
      </w:pPr>
    </w:p>
    <w:p w14:paraId="3D5165FD" w14:textId="77777777" w:rsidR="00B60DF6" w:rsidRDefault="00B60DF6" w:rsidP="00DF6C0B">
      <w:pPr>
        <w:spacing w:line="360" w:lineRule="auto"/>
        <w:jc w:val="both"/>
        <w:rPr>
          <w:rFonts w:ascii="Invesco Interstate Light" w:eastAsia="MS Mincho" w:hAnsi="Invesco Interstate Light"/>
          <w:b/>
          <w:bCs/>
          <w:sz w:val="22"/>
          <w:szCs w:val="22"/>
          <w:lang w:eastAsia="ja-JP"/>
        </w:rPr>
      </w:pPr>
    </w:p>
    <w:p w14:paraId="1A315C04" w14:textId="77777777" w:rsidR="00B60DF6" w:rsidRDefault="00B60DF6" w:rsidP="00DF6C0B">
      <w:pPr>
        <w:spacing w:line="360" w:lineRule="auto"/>
        <w:jc w:val="both"/>
        <w:rPr>
          <w:rFonts w:ascii="Invesco Interstate Light" w:eastAsia="MS Mincho" w:hAnsi="Invesco Interstate Light"/>
          <w:b/>
          <w:bCs/>
          <w:sz w:val="22"/>
          <w:szCs w:val="22"/>
          <w:lang w:eastAsia="ja-JP"/>
        </w:rPr>
      </w:pPr>
    </w:p>
    <w:p w14:paraId="0E564FFF" w14:textId="77777777" w:rsidR="00B60DF6" w:rsidRPr="00317D28" w:rsidRDefault="00B60DF6" w:rsidP="00DF6C0B">
      <w:pPr>
        <w:spacing w:line="360" w:lineRule="auto"/>
        <w:jc w:val="both"/>
        <w:rPr>
          <w:rFonts w:ascii="Invesco Interstate Light" w:eastAsia="MS Mincho" w:hAnsi="Invesco Interstate Light"/>
          <w:sz w:val="22"/>
          <w:szCs w:val="22"/>
          <w:lang w:eastAsia="ja-JP"/>
        </w:rPr>
      </w:pPr>
    </w:p>
    <w:p w14:paraId="6BBD653F" w14:textId="77777777" w:rsidR="00966D3B" w:rsidRPr="00625782" w:rsidRDefault="00966D3B" w:rsidP="00966D3B">
      <w:pPr>
        <w:spacing w:line="360" w:lineRule="auto"/>
        <w:jc w:val="both"/>
        <w:rPr>
          <w:rFonts w:ascii="Invesco Interstate Light" w:eastAsia="MS Mincho" w:hAnsi="Invesco Interstate Light"/>
          <w:sz w:val="22"/>
          <w:szCs w:val="22"/>
          <w:lang w:eastAsia="ja-JP"/>
        </w:rPr>
      </w:pPr>
      <w:r w:rsidRPr="00654055">
        <w:rPr>
          <w:rFonts w:ascii="Invesco Interstate Light" w:hAnsi="Invesco Interstate Light"/>
          <w:b/>
          <w:bCs/>
          <w:sz w:val="22"/>
          <w:szCs w:val="22"/>
        </w:rPr>
        <w:lastRenderedPageBreak/>
        <w:t xml:space="preserve">O společnosti </w:t>
      </w:r>
      <w:proofErr w:type="spellStart"/>
      <w:r w:rsidRPr="00654055">
        <w:rPr>
          <w:rFonts w:ascii="Invesco Interstate Light" w:hAnsi="Invesco Interstate Light"/>
          <w:b/>
          <w:bCs/>
          <w:sz w:val="22"/>
          <w:szCs w:val="22"/>
        </w:rPr>
        <w:t>Invesco</w:t>
      </w:r>
      <w:proofErr w:type="spellEnd"/>
    </w:p>
    <w:p w14:paraId="5BE208D6" w14:textId="77777777" w:rsidR="00966D3B" w:rsidRPr="00654055" w:rsidRDefault="00966D3B" w:rsidP="00966D3B">
      <w:pPr>
        <w:autoSpaceDE w:val="0"/>
        <w:autoSpaceDN w:val="0"/>
        <w:adjustRightInd w:val="0"/>
        <w:spacing w:line="276" w:lineRule="auto"/>
        <w:rPr>
          <w:rFonts w:ascii="Invesco Interstate Light" w:hAnsi="Invesco Interstate Light"/>
          <w:sz w:val="22"/>
          <w:szCs w:val="22"/>
        </w:rPr>
      </w:pPr>
    </w:p>
    <w:p w14:paraId="0979E9C3"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Österreich</w:t>
      </w:r>
      <w:proofErr w:type="spellEnd"/>
      <w:r w:rsidRPr="000E12B4">
        <w:rPr>
          <w:rFonts w:ascii="Invesco Interstate Light" w:hAnsi="Invesco Interstate Light"/>
          <w:sz w:val="22"/>
          <w:szCs w:val="22"/>
        </w:rPr>
        <w:t xml:space="preserve"> – pobočka pobočky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Pr>
          <w:rFonts w:ascii="Invesco Interstate Light" w:hAnsi="Invesco Interstate Light"/>
          <w:sz w:val="22"/>
          <w:szCs w:val="22"/>
        </w:rPr>
        <w:t xml:space="preserve"> </w:t>
      </w:r>
      <w:r w:rsidRPr="002231C5">
        <w:rPr>
          <w:rFonts w:ascii="Invesco Interstate Light" w:hAnsi="Invesco Interstate Light" w:cs="Arial"/>
          <w:sz w:val="22"/>
          <w:szCs w:val="22"/>
          <w:lang w:eastAsia="cs-CZ"/>
        </w:rPr>
        <w:t xml:space="preserve">– </w:t>
      </w:r>
      <w:r w:rsidRPr="000E12B4">
        <w:rPr>
          <w:rFonts w:ascii="Invesco Interstate Light" w:hAnsi="Invesco Interstate Light"/>
          <w:sz w:val="22"/>
          <w:szCs w:val="22"/>
        </w:rPr>
        <w:t xml:space="preserve">jsou součástí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Ltd., společnosti pro správu aktiv se spravovanými aktivy v hodnotě více než 1 593 miliard USD (k 31. říjnu 2021).</w:t>
      </w:r>
    </w:p>
    <w:p w14:paraId="2509A686"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7E461D7F"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 případě jakýchkoli dotazů nebo potřeby dalších informací se obraťte na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Valentin Jakubow, telefon +49 69 29807-311.</w:t>
      </w:r>
    </w:p>
    <w:p w14:paraId="62E68187"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40040391"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Obsažené informace nepředstavují investiční doporučení ani jiné poradenství.  Prognózy a výhledy trhu uvedené v tomto materiálu jsou subjektivní odhady a předpoklady</w:t>
      </w:r>
    </w:p>
    <w:p w14:paraId="75099E40"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vedení fondu nebo jeho zástupců. Mohou se kdykoli změnit bez předchozího upozornění. Nelze zaručit, že se prognózy uskuteční podle předpokladů.</w:t>
      </w:r>
    </w:p>
    <w:p w14:paraId="0D08EF85"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2AD974F2" w14:textId="77777777" w:rsidR="00966D3B"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Vydavatelem těchto informací v České republice je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An der </w:t>
      </w:r>
      <w:proofErr w:type="spellStart"/>
      <w:r w:rsidRPr="000E12B4">
        <w:rPr>
          <w:rFonts w:ascii="Invesco Interstate Light" w:hAnsi="Invesco Interstate Light"/>
          <w:sz w:val="22"/>
          <w:szCs w:val="22"/>
        </w:rPr>
        <w:t>Welle</w:t>
      </w:r>
      <w:proofErr w:type="spellEnd"/>
      <w:r w:rsidRPr="000E12B4">
        <w:rPr>
          <w:rFonts w:ascii="Invesco Interstate Light" w:hAnsi="Invesco Interstate Light"/>
          <w:sz w:val="22"/>
          <w:szCs w:val="22"/>
        </w:rPr>
        <w:t xml:space="preserve"> 5, D-60322 Frankfurt nad Mohanem.</w:t>
      </w:r>
      <w:r>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Red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Oak</w:t>
      </w:r>
      <w:proofErr w:type="spellEnd"/>
      <w:r w:rsidRPr="000E12B4">
        <w:rPr>
          <w:rFonts w:ascii="Invesco Interstate Light" w:hAnsi="Invesco Interstate Light"/>
          <w:sz w:val="22"/>
          <w:szCs w:val="22"/>
        </w:rPr>
        <w:t xml:space="preserve"> ID: 1958016</w:t>
      </w:r>
    </w:p>
    <w:p w14:paraId="13E14E29"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23D7BA5"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F193651" w14:textId="45803351" w:rsidR="00861B48" w:rsidRPr="000B3486" w:rsidRDefault="002355DD" w:rsidP="00AA2953">
      <w:pPr>
        <w:autoSpaceDE w:val="0"/>
        <w:autoSpaceDN w:val="0"/>
        <w:adjustRightInd w:val="0"/>
        <w:spacing w:line="360" w:lineRule="auto"/>
        <w:jc w:val="both"/>
        <w:rPr>
          <w:rFonts w:ascii="Invesco Interstate Light" w:hAnsi="Invesco Interstate Light"/>
          <w:b/>
          <w:bCs/>
          <w:sz w:val="22"/>
          <w:szCs w:val="22"/>
        </w:rPr>
      </w:pPr>
      <w:r w:rsidRPr="000B3486">
        <w:rPr>
          <w:rFonts w:ascii="Invesco Interstate Light" w:hAnsi="Invesco Interstate Light"/>
          <w:b/>
          <w:bCs/>
          <w:sz w:val="22"/>
          <w:szCs w:val="22"/>
        </w:rPr>
        <w:t>Pro více informací kontaktujte:</w:t>
      </w:r>
    </w:p>
    <w:p w14:paraId="2D8CCFC3" w14:textId="5D8355FB"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Eliška Krohová</w:t>
      </w:r>
    </w:p>
    <w:p w14:paraId="6206EFAC" w14:textId="2C72E8F6"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Crest Communications, a.s.</w:t>
      </w:r>
    </w:p>
    <w:p w14:paraId="3F25933E" w14:textId="775E272C"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Ostrovní 126/30</w:t>
      </w:r>
    </w:p>
    <w:p w14:paraId="1F8E91BC" w14:textId="5B14254F"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110 00 Praha 1</w:t>
      </w:r>
    </w:p>
    <w:p w14:paraId="3B799577" w14:textId="113036F6" w:rsidR="002355DD" w:rsidRPr="000B3486" w:rsidRDefault="002355DD" w:rsidP="00377BC0">
      <w:pPr>
        <w:spacing w:line="360" w:lineRule="auto"/>
        <w:rPr>
          <w:rFonts w:ascii="Invesco Interstate Light" w:hAnsi="Invesco Interstate Light"/>
          <w:sz w:val="22"/>
          <w:szCs w:val="22"/>
        </w:rPr>
      </w:pPr>
      <w:proofErr w:type="spellStart"/>
      <w:r w:rsidRPr="000B3486">
        <w:rPr>
          <w:rFonts w:ascii="Invesco Interstate Light" w:hAnsi="Invesco Interstate Light"/>
          <w:sz w:val="22"/>
          <w:szCs w:val="22"/>
        </w:rPr>
        <w:t>gsm</w:t>
      </w:r>
      <w:proofErr w:type="spellEnd"/>
      <w:r w:rsidRPr="000B3486">
        <w:rPr>
          <w:rFonts w:ascii="Invesco Interstate Light" w:hAnsi="Invesco Interstate Light"/>
          <w:sz w:val="22"/>
          <w:szCs w:val="22"/>
        </w:rPr>
        <w:t>: + 420 720 406 659</w:t>
      </w:r>
    </w:p>
    <w:p w14:paraId="4ADA8001" w14:textId="78096E9A" w:rsidR="00B84512" w:rsidRPr="000B3486" w:rsidRDefault="002355DD" w:rsidP="0020026C">
      <w:pPr>
        <w:spacing w:line="360" w:lineRule="auto"/>
        <w:rPr>
          <w:rFonts w:ascii="Invesco Interstate Light" w:hAnsi="Invesco Interstate Light"/>
          <w:sz w:val="22"/>
          <w:szCs w:val="22"/>
        </w:rPr>
      </w:pPr>
      <w:r w:rsidRPr="000B3486">
        <w:rPr>
          <w:rFonts w:ascii="Invesco Interstate Light" w:hAnsi="Invesco Interstate Light"/>
          <w:sz w:val="22"/>
          <w:szCs w:val="22"/>
        </w:rPr>
        <w:t xml:space="preserve">e-mail: </w:t>
      </w:r>
      <w:hyperlink r:id="rId12" w:history="1">
        <w:r w:rsidRPr="000B3486">
          <w:rPr>
            <w:rFonts w:ascii="Invesco Interstate Light" w:hAnsi="Invesco Interstate Light"/>
            <w:sz w:val="22"/>
            <w:szCs w:val="22"/>
          </w:rPr>
          <w:t>eliska.krohova@crestcom.cz</w:t>
        </w:r>
      </w:hyperlink>
    </w:p>
    <w:sectPr w:rsidR="00B84512" w:rsidRPr="000B3486" w:rsidSect="004854C2">
      <w:headerReference w:type="default" r:id="rId13"/>
      <w:pgSz w:w="11906" w:h="16838" w:code="9"/>
      <w:pgMar w:top="3062" w:right="926" w:bottom="1049" w:left="136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43CBC" w14:textId="77777777" w:rsidR="00643D20" w:rsidRDefault="00643D20">
      <w:r>
        <w:separator/>
      </w:r>
    </w:p>
  </w:endnote>
  <w:endnote w:type="continuationSeparator" w:id="0">
    <w:p w14:paraId="49C4A921" w14:textId="77777777" w:rsidR="00643D20" w:rsidRDefault="00643D20">
      <w:r>
        <w:continuationSeparator/>
      </w:r>
    </w:p>
  </w:endnote>
  <w:endnote w:type="continuationNotice" w:id="1">
    <w:p w14:paraId="494BF72B" w14:textId="77777777" w:rsidR="00643D20" w:rsidRDefault="00643D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altName w:val="Times New Roman"/>
    <w:panose1 w:val="00000000000000000000"/>
    <w:charset w:val="00"/>
    <w:family w:val="auto"/>
    <w:notTrueType/>
    <w:pitch w:val="variable"/>
    <w:sig w:usb0="0000008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InvescoInterstate-Light">
    <w:altName w:val="Times New Roman"/>
    <w:panose1 w:val="00000000000000000000"/>
    <w:charset w:val="00"/>
    <w:family w:val="auto"/>
    <w:notTrueType/>
    <w:pitch w:val="default"/>
    <w:sig w:usb0="00000003" w:usb1="00000000" w:usb2="00000000" w:usb3="00000000" w:csb0="00000001"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Interstate-Bold">
    <w:altName w:val="Times New Roman"/>
    <w:panose1 w:val="00000000000000000000"/>
    <w:charset w:val="00"/>
    <w:family w:val="auto"/>
    <w:notTrueType/>
    <w:pitch w:val="variable"/>
    <w:sig w:usb0="00000081" w:usb1="00000000" w:usb2="00000000" w:usb3="00000000" w:csb0="00000009"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Invesco Interstate Bold">
    <w:altName w:val="Calibri"/>
    <w:panose1 w:val="00000000000000000000"/>
    <w:charset w:val="00"/>
    <w:family w:val="modern"/>
    <w:notTrueType/>
    <w:pitch w:val="variable"/>
    <w:sig w:usb0="A00000AF" w:usb1="5000204A" w:usb2="00000000" w:usb3="00000000" w:csb0="000001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5CEEE" w14:textId="77777777" w:rsidR="00643D20" w:rsidRDefault="00643D20">
      <w:r>
        <w:separator/>
      </w:r>
    </w:p>
  </w:footnote>
  <w:footnote w:type="continuationSeparator" w:id="0">
    <w:p w14:paraId="5705438E" w14:textId="77777777" w:rsidR="00643D20" w:rsidRDefault="00643D20">
      <w:r>
        <w:continuationSeparator/>
      </w:r>
    </w:p>
  </w:footnote>
  <w:footnote w:type="continuationNotice" w:id="1">
    <w:p w14:paraId="3D8296EC" w14:textId="77777777" w:rsidR="00643D20" w:rsidRDefault="00643D2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E542" w14:textId="37C9FB14" w:rsidR="00702C33" w:rsidRPr="00DD40A4" w:rsidRDefault="00702C33" w:rsidP="00F01B90">
    <w:pPr>
      <w:pStyle w:val="Zhlav"/>
      <w:pBdr>
        <w:top w:val="single" w:sz="4" w:space="3" w:color="auto"/>
      </w:pBdr>
      <w:spacing w:line="298" w:lineRule="exact"/>
      <w:ind w:left="3402"/>
      <w:rPr>
        <w:rFonts w:ascii="Invesco Interstate Bold" w:hAnsi="Invesco Interstate Bold"/>
        <w:sz w:val="28"/>
        <w:szCs w:val="28"/>
      </w:rPr>
    </w:pPr>
    <w:r>
      <w:rPr>
        <w:rFonts w:ascii="Invesco Interstate Light" w:hAnsi="Invesco Interstate Light"/>
        <w:noProof/>
        <w:color w:val="000000"/>
        <w:sz w:val="23"/>
        <w:szCs w:val="23"/>
        <w:lang w:eastAsia="cs-CZ"/>
      </w:rPr>
      <w:drawing>
        <wp:anchor distT="0" distB="0" distL="114300" distR="114300" simplePos="0" relativeHeight="251658240" behindDoc="0" locked="0" layoutInCell="1" allowOverlap="1" wp14:anchorId="699ED488" wp14:editId="0D4C568D">
          <wp:simplePos x="0" y="0"/>
          <wp:positionH relativeFrom="column">
            <wp:posOffset>-180975</wp:posOffset>
          </wp:positionH>
          <wp:positionV relativeFrom="paragraph">
            <wp:posOffset>67310</wp:posOffset>
          </wp:positionV>
          <wp:extent cx="1210945" cy="89535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5" cy="8953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59A5D358">
      <w:rPr>
        <w:rFonts w:ascii="Invesco Interstate Bold" w:hAnsi="Invesco Interstate Bold"/>
        <w:sz w:val="28"/>
        <w:szCs w:val="28"/>
      </w:rPr>
      <w:t>Press</w:t>
    </w:r>
    <w:proofErr w:type="spellEnd"/>
    <w:r w:rsidR="59A5D358">
      <w:rPr>
        <w:rFonts w:ascii="Invesco Interstate Bold" w:hAnsi="Invesco Interstate Bold"/>
        <w:sz w:val="28"/>
        <w:szCs w:val="28"/>
      </w:rPr>
      <w:t xml:space="preserve"> </w:t>
    </w:r>
    <w:proofErr w:type="spellStart"/>
    <w:r w:rsidR="59A5D358">
      <w:rPr>
        <w:rFonts w:ascii="Invesco Interstate Bold" w:hAnsi="Invesco Interstate Bold"/>
        <w:sz w:val="28"/>
        <w:szCs w:val="28"/>
      </w:rPr>
      <w:t>release</w:t>
    </w:r>
    <w:proofErr w:type="spellEnd"/>
  </w:p>
  <w:p w14:paraId="47A3E141" w14:textId="77777777" w:rsidR="00702C33" w:rsidRPr="000730A6" w:rsidRDefault="00702C33" w:rsidP="00F01B90">
    <w:pPr>
      <w:pStyle w:val="Zhlav"/>
      <w:pBdr>
        <w:top w:val="single" w:sz="4" w:space="3" w:color="auto"/>
      </w:pBdr>
      <w:spacing w:line="298" w:lineRule="exact"/>
      <w:ind w:left="3402"/>
      <w:rPr>
        <w:color w:val="000000"/>
        <w:sz w:val="28"/>
        <w:szCs w:val="28"/>
      </w:rPr>
    </w:pPr>
  </w:p>
  <w:p w14:paraId="75055101" w14:textId="18B8DF7C" w:rsidR="00702C33" w:rsidRPr="000730A6" w:rsidRDefault="000402D6" w:rsidP="0083625E">
    <w:pPr>
      <w:pStyle w:val="Zhlav"/>
      <w:pBdr>
        <w:top w:val="single" w:sz="4" w:space="3" w:color="auto"/>
      </w:pBdr>
      <w:spacing w:line="298" w:lineRule="exact"/>
      <w:ind w:left="3402"/>
      <w:jc w:val="right"/>
      <w:rPr>
        <w:color w:val="000000"/>
        <w:sz w:val="28"/>
        <w:szCs w:val="28"/>
      </w:rPr>
    </w:pPr>
    <w:r>
      <w:rPr>
        <w:color w:val="000000"/>
        <w:sz w:val="28"/>
        <w:szCs w:val="28"/>
      </w:rPr>
      <w:t>29</w:t>
    </w:r>
    <w:r w:rsidR="0083625E">
      <w:rPr>
        <w:color w:val="000000"/>
        <w:sz w:val="28"/>
        <w:szCs w:val="28"/>
      </w:rPr>
      <w:t>.</w:t>
    </w:r>
    <w:r w:rsidR="00966D3B">
      <w:rPr>
        <w:color w:val="000000"/>
        <w:sz w:val="28"/>
        <w:szCs w:val="28"/>
      </w:rPr>
      <w:t>9</w:t>
    </w:r>
    <w:r w:rsidR="00BE4A7F">
      <w:rPr>
        <w:color w:val="000000"/>
        <w:sz w:val="28"/>
        <w:szCs w:val="28"/>
      </w:rPr>
      <w:t>.</w:t>
    </w:r>
    <w:r w:rsidR="0083625E">
      <w:rPr>
        <w:color w:val="000000"/>
        <w:sz w:val="28"/>
        <w:szCs w:val="28"/>
      </w:rPr>
      <w:t>202</w:t>
    </w:r>
    <w:r w:rsidR="003D67B0">
      <w:rPr>
        <w:color w:val="000000"/>
        <w:sz w:val="28"/>
        <w:szCs w:val="28"/>
      </w:rPr>
      <w:t>6</w:t>
    </w:r>
  </w:p>
  <w:p w14:paraId="68017DC2"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1C4278FC"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3D28188A"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46423A6D" w14:textId="5764694B" w:rsidR="00702C33" w:rsidRPr="00DD40A4" w:rsidRDefault="00702C33" w:rsidP="00EB6787">
    <w:pPr>
      <w:pStyle w:val="Zhlav"/>
      <w:pBdr>
        <w:top w:val="single" w:sz="4" w:space="3" w:color="auto"/>
      </w:pBdr>
      <w:spacing w:line="298" w:lineRule="exact"/>
      <w:ind w:left="3402"/>
      <w:jc w:val="right"/>
      <w:rPr>
        <w:rFonts w:ascii="Invesco Interstate Light" w:hAnsi="Invesco Interstate Light"/>
        <w:color w:val="000000"/>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A8D"/>
    <w:multiLevelType w:val="hybridMultilevel"/>
    <w:tmpl w:val="02D05D0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F1666"/>
    <w:multiLevelType w:val="multilevel"/>
    <w:tmpl w:val="11820CCE"/>
    <w:numStyleLink w:val="FormatvorlageAufgezhlt"/>
  </w:abstractNum>
  <w:abstractNum w:abstractNumId="2" w15:restartNumberingAfterBreak="0">
    <w:nsid w:val="02830A4F"/>
    <w:multiLevelType w:val="hybridMultilevel"/>
    <w:tmpl w:val="41CA52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3532BC"/>
    <w:multiLevelType w:val="hybridMultilevel"/>
    <w:tmpl w:val="4990A4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0A3312"/>
    <w:multiLevelType w:val="hybridMultilevel"/>
    <w:tmpl w:val="B638F3BA"/>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8522D9"/>
    <w:multiLevelType w:val="hybridMultilevel"/>
    <w:tmpl w:val="C2328D44"/>
    <w:lvl w:ilvl="0" w:tplc="F2400E3E">
      <w:numFmt w:val="bullet"/>
      <w:lvlText w:val="-"/>
      <w:lvlJc w:val="left"/>
      <w:pPr>
        <w:tabs>
          <w:tab w:val="num" w:pos="417"/>
        </w:tabs>
        <w:ind w:left="417" w:hanging="360"/>
      </w:pPr>
      <w:rPr>
        <w:rFonts w:ascii="Interstate-Light" w:eastAsia="Times New Roman" w:hAnsi="Interstate-Light" w:cs="Arial" w:hint="default"/>
      </w:rPr>
    </w:lvl>
    <w:lvl w:ilvl="1" w:tplc="04070003" w:tentative="1">
      <w:start w:val="1"/>
      <w:numFmt w:val="bullet"/>
      <w:lvlText w:val="o"/>
      <w:lvlJc w:val="left"/>
      <w:pPr>
        <w:tabs>
          <w:tab w:val="num" w:pos="1137"/>
        </w:tabs>
        <w:ind w:left="1137" w:hanging="360"/>
      </w:pPr>
      <w:rPr>
        <w:rFonts w:ascii="Courier New" w:hAnsi="Courier New" w:cs="Courier New" w:hint="default"/>
      </w:rPr>
    </w:lvl>
    <w:lvl w:ilvl="2" w:tplc="04070005" w:tentative="1">
      <w:start w:val="1"/>
      <w:numFmt w:val="bullet"/>
      <w:lvlText w:val=""/>
      <w:lvlJc w:val="left"/>
      <w:pPr>
        <w:tabs>
          <w:tab w:val="num" w:pos="1857"/>
        </w:tabs>
        <w:ind w:left="1857" w:hanging="360"/>
      </w:pPr>
      <w:rPr>
        <w:rFonts w:ascii="Wingdings" w:hAnsi="Wingdings" w:hint="default"/>
      </w:rPr>
    </w:lvl>
    <w:lvl w:ilvl="3" w:tplc="04070001" w:tentative="1">
      <w:start w:val="1"/>
      <w:numFmt w:val="bullet"/>
      <w:lvlText w:val=""/>
      <w:lvlJc w:val="left"/>
      <w:pPr>
        <w:tabs>
          <w:tab w:val="num" w:pos="2577"/>
        </w:tabs>
        <w:ind w:left="2577" w:hanging="360"/>
      </w:pPr>
      <w:rPr>
        <w:rFonts w:ascii="Symbol" w:hAnsi="Symbol" w:hint="default"/>
      </w:rPr>
    </w:lvl>
    <w:lvl w:ilvl="4" w:tplc="04070003" w:tentative="1">
      <w:start w:val="1"/>
      <w:numFmt w:val="bullet"/>
      <w:lvlText w:val="o"/>
      <w:lvlJc w:val="left"/>
      <w:pPr>
        <w:tabs>
          <w:tab w:val="num" w:pos="3297"/>
        </w:tabs>
        <w:ind w:left="3297" w:hanging="360"/>
      </w:pPr>
      <w:rPr>
        <w:rFonts w:ascii="Courier New" w:hAnsi="Courier New" w:cs="Courier New" w:hint="default"/>
      </w:rPr>
    </w:lvl>
    <w:lvl w:ilvl="5" w:tplc="04070005" w:tentative="1">
      <w:start w:val="1"/>
      <w:numFmt w:val="bullet"/>
      <w:lvlText w:val=""/>
      <w:lvlJc w:val="left"/>
      <w:pPr>
        <w:tabs>
          <w:tab w:val="num" w:pos="4017"/>
        </w:tabs>
        <w:ind w:left="4017" w:hanging="360"/>
      </w:pPr>
      <w:rPr>
        <w:rFonts w:ascii="Wingdings" w:hAnsi="Wingdings" w:hint="default"/>
      </w:rPr>
    </w:lvl>
    <w:lvl w:ilvl="6" w:tplc="04070001" w:tentative="1">
      <w:start w:val="1"/>
      <w:numFmt w:val="bullet"/>
      <w:lvlText w:val=""/>
      <w:lvlJc w:val="left"/>
      <w:pPr>
        <w:tabs>
          <w:tab w:val="num" w:pos="4737"/>
        </w:tabs>
        <w:ind w:left="4737" w:hanging="360"/>
      </w:pPr>
      <w:rPr>
        <w:rFonts w:ascii="Symbol" w:hAnsi="Symbol" w:hint="default"/>
      </w:rPr>
    </w:lvl>
    <w:lvl w:ilvl="7" w:tplc="04070003" w:tentative="1">
      <w:start w:val="1"/>
      <w:numFmt w:val="bullet"/>
      <w:lvlText w:val="o"/>
      <w:lvlJc w:val="left"/>
      <w:pPr>
        <w:tabs>
          <w:tab w:val="num" w:pos="5457"/>
        </w:tabs>
        <w:ind w:left="5457" w:hanging="360"/>
      </w:pPr>
      <w:rPr>
        <w:rFonts w:ascii="Courier New" w:hAnsi="Courier New" w:cs="Courier New" w:hint="default"/>
      </w:rPr>
    </w:lvl>
    <w:lvl w:ilvl="8" w:tplc="0407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11371280"/>
    <w:multiLevelType w:val="hybridMultilevel"/>
    <w:tmpl w:val="F462ED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23526C"/>
    <w:multiLevelType w:val="hybridMultilevel"/>
    <w:tmpl w:val="6384318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32367F4"/>
    <w:multiLevelType w:val="hybridMultilevel"/>
    <w:tmpl w:val="C6068710"/>
    <w:lvl w:ilvl="0" w:tplc="F41ECF42">
      <w:start w:val="1"/>
      <w:numFmt w:val="decimal"/>
      <w:lvlText w:val="%1."/>
      <w:lvlJc w:val="left"/>
      <w:pPr>
        <w:ind w:left="720" w:hanging="360"/>
      </w:pPr>
      <w:rPr>
        <w:rFonts w:eastAsia="MS Mincho"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C58061F"/>
    <w:multiLevelType w:val="multilevel"/>
    <w:tmpl w:val="F25EAD3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20DC4577"/>
    <w:multiLevelType w:val="hybridMultilevel"/>
    <w:tmpl w:val="CB5E692C"/>
    <w:lvl w:ilvl="0" w:tplc="562A133C">
      <w:start w:val="1"/>
      <w:numFmt w:val="decimal"/>
      <w:lvlText w:val="%1)"/>
      <w:lvlJc w:val="left"/>
      <w:pPr>
        <w:ind w:left="720" w:hanging="360"/>
      </w:pPr>
      <w:rPr>
        <w:rFonts w:ascii="Calibri" w:eastAsia="SimSun" w:hAnsi="Calibri" w:cs="Calibri"/>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42762C"/>
    <w:multiLevelType w:val="hybridMultilevel"/>
    <w:tmpl w:val="7438E3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282407"/>
    <w:multiLevelType w:val="hybridMultilevel"/>
    <w:tmpl w:val="31CE0928"/>
    <w:lvl w:ilvl="0" w:tplc="C944B6A4">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A0F7E9E"/>
    <w:multiLevelType w:val="hybridMultilevel"/>
    <w:tmpl w:val="22A6AED0"/>
    <w:lvl w:ilvl="0" w:tplc="7C86876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A46D70"/>
    <w:multiLevelType w:val="multilevel"/>
    <w:tmpl w:val="11820CCE"/>
    <w:numStyleLink w:val="FormatvorlageAufgezhlt"/>
  </w:abstractNum>
  <w:abstractNum w:abstractNumId="15" w15:restartNumberingAfterBreak="0">
    <w:nsid w:val="3AAA5B92"/>
    <w:multiLevelType w:val="hybridMultilevel"/>
    <w:tmpl w:val="89A4DB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11576DF"/>
    <w:multiLevelType w:val="hybridMultilevel"/>
    <w:tmpl w:val="4992EE3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D517BE"/>
    <w:multiLevelType w:val="multilevel"/>
    <w:tmpl w:val="11820CCE"/>
    <w:styleLink w:val="FormatvorlageAufgezhlt"/>
    <w:lvl w:ilvl="0">
      <w:start w:val="1"/>
      <w:numFmt w:val="bullet"/>
      <w:lvlText w:val=""/>
      <w:lvlJc w:val="left"/>
      <w:pPr>
        <w:tabs>
          <w:tab w:val="num" w:pos="284"/>
        </w:tabs>
        <w:ind w:left="284" w:hanging="284"/>
      </w:pPr>
      <w:rPr>
        <w:rFonts w:ascii="Symbol" w:hAnsi="Symbol" w:hint="default"/>
        <w:spacing w:val="-2"/>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CB55B4"/>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E431E6"/>
    <w:multiLevelType w:val="hybridMultilevel"/>
    <w:tmpl w:val="2932C9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630B23"/>
    <w:multiLevelType w:val="multilevel"/>
    <w:tmpl w:val="11820CCE"/>
    <w:numStyleLink w:val="FormatvorlageAufgezhlt"/>
  </w:abstractNum>
  <w:abstractNum w:abstractNumId="21" w15:restartNumberingAfterBreak="0">
    <w:nsid w:val="51C77DF0"/>
    <w:multiLevelType w:val="hybridMultilevel"/>
    <w:tmpl w:val="DFEC23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27F26D6"/>
    <w:multiLevelType w:val="multilevel"/>
    <w:tmpl w:val="4DC4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842E6"/>
    <w:multiLevelType w:val="hybridMultilevel"/>
    <w:tmpl w:val="FA32E34A"/>
    <w:lvl w:ilvl="0" w:tplc="04050001">
      <w:start w:val="1"/>
      <w:numFmt w:val="bullet"/>
      <w:lvlText w:val=""/>
      <w:lvlJc w:val="left"/>
      <w:pPr>
        <w:ind w:left="360" w:hanging="360"/>
      </w:pPr>
      <w:rPr>
        <w:rFonts w:ascii="Symbol" w:hAnsi="Symbol" w:hint="default"/>
      </w:rPr>
    </w:lvl>
    <w:lvl w:ilvl="1" w:tplc="862E3118">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4EA5352"/>
    <w:multiLevelType w:val="hybridMultilevel"/>
    <w:tmpl w:val="78781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9FB2971"/>
    <w:multiLevelType w:val="multilevel"/>
    <w:tmpl w:val="1A7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034BE7"/>
    <w:multiLevelType w:val="multilevel"/>
    <w:tmpl w:val="238E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67E76"/>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320AB6"/>
    <w:multiLevelType w:val="hybridMultilevel"/>
    <w:tmpl w:val="0CBC0784"/>
    <w:lvl w:ilvl="0" w:tplc="418C119C">
      <w:start w:val="1"/>
      <w:numFmt w:val="bullet"/>
      <w:lvlText w:val="-"/>
      <w:lvlJc w:val="left"/>
      <w:pPr>
        <w:ind w:left="720" w:hanging="360"/>
      </w:pPr>
      <w:rPr>
        <w:rFonts w:ascii="Verdana" w:eastAsia="Times New Roman" w:hAnsi="Verdana" w:cs="InvescoInterstate-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17D8A"/>
    <w:multiLevelType w:val="hybridMultilevel"/>
    <w:tmpl w:val="6BFE5D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167826"/>
    <w:multiLevelType w:val="hybridMultilevel"/>
    <w:tmpl w:val="3DF41F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8E55888"/>
    <w:multiLevelType w:val="multilevel"/>
    <w:tmpl w:val="3136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60143C"/>
    <w:multiLevelType w:val="hybridMultilevel"/>
    <w:tmpl w:val="F4982B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BD403C3"/>
    <w:multiLevelType w:val="multilevel"/>
    <w:tmpl w:val="11820CCE"/>
    <w:numStyleLink w:val="FormatvorlageAufgezhlt"/>
  </w:abstractNum>
  <w:abstractNum w:abstractNumId="34" w15:restartNumberingAfterBreak="0">
    <w:nsid w:val="6C6C4721"/>
    <w:multiLevelType w:val="multilevel"/>
    <w:tmpl w:val="11820CCE"/>
    <w:numStyleLink w:val="FormatvorlageAufgezhlt"/>
  </w:abstractNum>
  <w:abstractNum w:abstractNumId="35" w15:restartNumberingAfterBreak="0">
    <w:nsid w:val="6D540F0B"/>
    <w:multiLevelType w:val="hybridMultilevel"/>
    <w:tmpl w:val="83CA58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25F7CB6"/>
    <w:multiLevelType w:val="multilevel"/>
    <w:tmpl w:val="6EFA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7B6BE8"/>
    <w:multiLevelType w:val="multilevel"/>
    <w:tmpl w:val="F49C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5380B"/>
    <w:multiLevelType w:val="multilevel"/>
    <w:tmpl w:val="11820CCE"/>
    <w:numStyleLink w:val="FormatvorlageAufgezhlt"/>
  </w:abstractNum>
  <w:abstractNum w:abstractNumId="39" w15:restartNumberingAfterBreak="0">
    <w:nsid w:val="760917C2"/>
    <w:multiLevelType w:val="hybridMultilevel"/>
    <w:tmpl w:val="41049BD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6586BA9"/>
    <w:multiLevelType w:val="hybridMultilevel"/>
    <w:tmpl w:val="204453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90F7BB6"/>
    <w:multiLevelType w:val="hybridMultilevel"/>
    <w:tmpl w:val="CD3ACA02"/>
    <w:lvl w:ilvl="0" w:tplc="04050001">
      <w:start w:val="1"/>
      <w:numFmt w:val="bullet"/>
      <w:lvlText w:val=""/>
      <w:lvlJc w:val="left"/>
      <w:pPr>
        <w:ind w:left="720" w:hanging="360"/>
      </w:pPr>
      <w:rPr>
        <w:rFonts w:ascii="Symbol" w:hAnsi="Symbol" w:hint="default"/>
      </w:rPr>
    </w:lvl>
    <w:lvl w:ilvl="1" w:tplc="45A67DCE">
      <w:numFmt w:val="bullet"/>
      <w:lvlText w:val="-"/>
      <w:lvlJc w:val="left"/>
      <w:pPr>
        <w:ind w:left="1788" w:hanging="708"/>
      </w:pPr>
      <w:rPr>
        <w:rFonts w:ascii="Invesco Interstate Light" w:eastAsia="MS Mincho" w:hAnsi="Invesco Interstate Ligh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A4323C9"/>
    <w:multiLevelType w:val="hybridMultilevel"/>
    <w:tmpl w:val="6A4C45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B9A1825"/>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AC587C"/>
    <w:multiLevelType w:val="hybridMultilevel"/>
    <w:tmpl w:val="BC2E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4C43AA"/>
    <w:multiLevelType w:val="hybridMultilevel"/>
    <w:tmpl w:val="1084E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352023">
    <w:abstractNumId w:val="0"/>
  </w:num>
  <w:num w:numId="2" w16cid:durableId="165101048">
    <w:abstractNumId w:val="16"/>
  </w:num>
  <w:num w:numId="3" w16cid:durableId="1282105589">
    <w:abstractNumId w:val="29"/>
  </w:num>
  <w:num w:numId="4" w16cid:durableId="1617441895">
    <w:abstractNumId w:val="17"/>
  </w:num>
  <w:num w:numId="5" w16cid:durableId="1267425896">
    <w:abstractNumId w:val="20"/>
  </w:num>
  <w:num w:numId="6" w16cid:durableId="1792238606">
    <w:abstractNumId w:val="33"/>
  </w:num>
  <w:num w:numId="7" w16cid:durableId="190919629">
    <w:abstractNumId w:val="34"/>
  </w:num>
  <w:num w:numId="8" w16cid:durableId="2083285618">
    <w:abstractNumId w:val="1"/>
  </w:num>
  <w:num w:numId="9" w16cid:durableId="1653213567">
    <w:abstractNumId w:val="38"/>
  </w:num>
  <w:num w:numId="10" w16cid:durableId="849561851">
    <w:abstractNumId w:val="14"/>
  </w:num>
  <w:num w:numId="11" w16cid:durableId="1899129255">
    <w:abstractNumId w:val="5"/>
  </w:num>
  <w:num w:numId="12" w16cid:durableId="1348407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6734545">
    <w:abstractNumId w:val="44"/>
  </w:num>
  <w:num w:numId="14" w16cid:durableId="2009676695">
    <w:abstractNumId w:val="45"/>
  </w:num>
  <w:num w:numId="15" w16cid:durableId="1629623239">
    <w:abstractNumId w:val="28"/>
  </w:num>
  <w:num w:numId="16" w16cid:durableId="1975720235">
    <w:abstractNumId w:val="9"/>
  </w:num>
  <w:num w:numId="17" w16cid:durableId="103501300">
    <w:abstractNumId w:val="2"/>
  </w:num>
  <w:num w:numId="18" w16cid:durableId="1434014312">
    <w:abstractNumId w:val="32"/>
  </w:num>
  <w:num w:numId="19" w16cid:durableId="832065860">
    <w:abstractNumId w:val="35"/>
  </w:num>
  <w:num w:numId="20" w16cid:durableId="667943464">
    <w:abstractNumId w:val="42"/>
  </w:num>
  <w:num w:numId="21" w16cid:durableId="225343112">
    <w:abstractNumId w:val="40"/>
  </w:num>
  <w:num w:numId="22" w16cid:durableId="1319532336">
    <w:abstractNumId w:val="13"/>
  </w:num>
  <w:num w:numId="23" w16cid:durableId="1341154147">
    <w:abstractNumId w:val="27"/>
  </w:num>
  <w:num w:numId="24" w16cid:durableId="796413596">
    <w:abstractNumId w:val="18"/>
  </w:num>
  <w:num w:numId="25" w16cid:durableId="2010979537">
    <w:abstractNumId w:val="43"/>
  </w:num>
  <w:num w:numId="26" w16cid:durableId="951936802">
    <w:abstractNumId w:val="24"/>
  </w:num>
  <w:num w:numId="27" w16cid:durableId="1672954226">
    <w:abstractNumId w:val="3"/>
  </w:num>
  <w:num w:numId="28" w16cid:durableId="953906591">
    <w:abstractNumId w:val="7"/>
  </w:num>
  <w:num w:numId="29" w16cid:durableId="923606003">
    <w:abstractNumId w:val="39"/>
  </w:num>
  <w:num w:numId="30" w16cid:durableId="251279824">
    <w:abstractNumId w:val="11"/>
  </w:num>
  <w:num w:numId="31" w16cid:durableId="561334413">
    <w:abstractNumId w:val="8"/>
  </w:num>
  <w:num w:numId="32" w16cid:durableId="1464276347">
    <w:abstractNumId w:val="15"/>
  </w:num>
  <w:num w:numId="33" w16cid:durableId="514879310">
    <w:abstractNumId w:val="23"/>
  </w:num>
  <w:num w:numId="34" w16cid:durableId="511531335">
    <w:abstractNumId w:val="19"/>
  </w:num>
  <w:num w:numId="35" w16cid:durableId="1821118983">
    <w:abstractNumId w:val="21"/>
  </w:num>
  <w:num w:numId="36" w16cid:durableId="1789934776">
    <w:abstractNumId w:val="6"/>
  </w:num>
  <w:num w:numId="37" w16cid:durableId="1800874279">
    <w:abstractNumId w:val="12"/>
  </w:num>
  <w:num w:numId="38" w16cid:durableId="1039015436">
    <w:abstractNumId w:val="41"/>
  </w:num>
  <w:num w:numId="39" w16cid:durableId="1411855782">
    <w:abstractNumId w:val="30"/>
  </w:num>
  <w:num w:numId="40" w16cid:durableId="1680741308">
    <w:abstractNumId w:val="4"/>
  </w:num>
  <w:num w:numId="41" w16cid:durableId="1307934230">
    <w:abstractNumId w:val="26"/>
  </w:num>
  <w:num w:numId="42" w16cid:durableId="1547260435">
    <w:abstractNumId w:val="37"/>
  </w:num>
  <w:num w:numId="43" w16cid:durableId="779421420">
    <w:abstractNumId w:val="22"/>
  </w:num>
  <w:num w:numId="44" w16cid:durableId="1541673286">
    <w:abstractNumId w:val="31"/>
  </w:num>
  <w:num w:numId="45" w16cid:durableId="2126918698">
    <w:abstractNumId w:val="25"/>
  </w:num>
  <w:num w:numId="46" w16cid:durableId="131773322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cs-CZ" w:vendorID="64" w:dllVersion="4096"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8F9"/>
    <w:rsid w:val="00000468"/>
    <w:rsid w:val="0000077A"/>
    <w:rsid w:val="00000B2C"/>
    <w:rsid w:val="00001A70"/>
    <w:rsid w:val="00001C6F"/>
    <w:rsid w:val="00002567"/>
    <w:rsid w:val="00002E94"/>
    <w:rsid w:val="0000443E"/>
    <w:rsid w:val="00005B3E"/>
    <w:rsid w:val="000061D4"/>
    <w:rsid w:val="00006CC0"/>
    <w:rsid w:val="00007DAE"/>
    <w:rsid w:val="00007DDF"/>
    <w:rsid w:val="000108C0"/>
    <w:rsid w:val="00011256"/>
    <w:rsid w:val="00011B18"/>
    <w:rsid w:val="00011D1E"/>
    <w:rsid w:val="00012B0B"/>
    <w:rsid w:val="00012B5A"/>
    <w:rsid w:val="0001315F"/>
    <w:rsid w:val="000138A9"/>
    <w:rsid w:val="000143D3"/>
    <w:rsid w:val="00014ED9"/>
    <w:rsid w:val="00014FDE"/>
    <w:rsid w:val="00015054"/>
    <w:rsid w:val="00015733"/>
    <w:rsid w:val="00015964"/>
    <w:rsid w:val="00015DAF"/>
    <w:rsid w:val="00016169"/>
    <w:rsid w:val="0001671D"/>
    <w:rsid w:val="00016A1B"/>
    <w:rsid w:val="00016E91"/>
    <w:rsid w:val="00017017"/>
    <w:rsid w:val="000174DD"/>
    <w:rsid w:val="00020C27"/>
    <w:rsid w:val="000211E2"/>
    <w:rsid w:val="000217CA"/>
    <w:rsid w:val="00021BE9"/>
    <w:rsid w:val="00022F46"/>
    <w:rsid w:val="0002342C"/>
    <w:rsid w:val="000235C8"/>
    <w:rsid w:val="0002385B"/>
    <w:rsid w:val="0002434D"/>
    <w:rsid w:val="00024669"/>
    <w:rsid w:val="00025180"/>
    <w:rsid w:val="000251FB"/>
    <w:rsid w:val="000259D0"/>
    <w:rsid w:val="00025A33"/>
    <w:rsid w:val="00025C6A"/>
    <w:rsid w:val="000265C4"/>
    <w:rsid w:val="00026CDE"/>
    <w:rsid w:val="00030ECD"/>
    <w:rsid w:val="0003116B"/>
    <w:rsid w:val="000314AD"/>
    <w:rsid w:val="00031A9F"/>
    <w:rsid w:val="00031D44"/>
    <w:rsid w:val="00032FE3"/>
    <w:rsid w:val="000346DD"/>
    <w:rsid w:val="00034746"/>
    <w:rsid w:val="00034AAE"/>
    <w:rsid w:val="00034B4E"/>
    <w:rsid w:val="00035A16"/>
    <w:rsid w:val="00035A61"/>
    <w:rsid w:val="000365C1"/>
    <w:rsid w:val="000366D4"/>
    <w:rsid w:val="00036BF1"/>
    <w:rsid w:val="000371E0"/>
    <w:rsid w:val="0003755A"/>
    <w:rsid w:val="000402D6"/>
    <w:rsid w:val="00040376"/>
    <w:rsid w:val="00040B70"/>
    <w:rsid w:val="0004254E"/>
    <w:rsid w:val="00042D5A"/>
    <w:rsid w:val="00042E58"/>
    <w:rsid w:val="00042EDC"/>
    <w:rsid w:val="00042EFB"/>
    <w:rsid w:val="00043F78"/>
    <w:rsid w:val="000451DD"/>
    <w:rsid w:val="0004614B"/>
    <w:rsid w:val="0004673F"/>
    <w:rsid w:val="0004688F"/>
    <w:rsid w:val="000473FB"/>
    <w:rsid w:val="00050F89"/>
    <w:rsid w:val="00051368"/>
    <w:rsid w:val="000521D9"/>
    <w:rsid w:val="000528AC"/>
    <w:rsid w:val="000531C7"/>
    <w:rsid w:val="00053275"/>
    <w:rsid w:val="000540F7"/>
    <w:rsid w:val="00055023"/>
    <w:rsid w:val="00055A79"/>
    <w:rsid w:val="00055C34"/>
    <w:rsid w:val="000560F4"/>
    <w:rsid w:val="000564C2"/>
    <w:rsid w:val="00057BC5"/>
    <w:rsid w:val="00057C3A"/>
    <w:rsid w:val="000604A1"/>
    <w:rsid w:val="00061A1C"/>
    <w:rsid w:val="00061BD4"/>
    <w:rsid w:val="00061CE9"/>
    <w:rsid w:val="000624E0"/>
    <w:rsid w:val="00062745"/>
    <w:rsid w:val="00062962"/>
    <w:rsid w:val="00062D45"/>
    <w:rsid w:val="0006346E"/>
    <w:rsid w:val="00064574"/>
    <w:rsid w:val="0006482A"/>
    <w:rsid w:val="00065720"/>
    <w:rsid w:val="000663E7"/>
    <w:rsid w:val="000664FB"/>
    <w:rsid w:val="000675C1"/>
    <w:rsid w:val="00070E66"/>
    <w:rsid w:val="000714C0"/>
    <w:rsid w:val="00071FCB"/>
    <w:rsid w:val="00072C35"/>
    <w:rsid w:val="00072F2C"/>
    <w:rsid w:val="000730A6"/>
    <w:rsid w:val="000739B0"/>
    <w:rsid w:val="0007421F"/>
    <w:rsid w:val="0007486A"/>
    <w:rsid w:val="00074E8A"/>
    <w:rsid w:val="00075237"/>
    <w:rsid w:val="000754E9"/>
    <w:rsid w:val="000757A2"/>
    <w:rsid w:val="00075DE3"/>
    <w:rsid w:val="00076931"/>
    <w:rsid w:val="000769F3"/>
    <w:rsid w:val="00077802"/>
    <w:rsid w:val="00077A79"/>
    <w:rsid w:val="00080E7C"/>
    <w:rsid w:val="00081305"/>
    <w:rsid w:val="00081376"/>
    <w:rsid w:val="00081E99"/>
    <w:rsid w:val="00082648"/>
    <w:rsid w:val="00082751"/>
    <w:rsid w:val="0008356C"/>
    <w:rsid w:val="0008369E"/>
    <w:rsid w:val="00083A80"/>
    <w:rsid w:val="00083BB4"/>
    <w:rsid w:val="00083C0A"/>
    <w:rsid w:val="00083E86"/>
    <w:rsid w:val="0008487A"/>
    <w:rsid w:val="00085077"/>
    <w:rsid w:val="0008515C"/>
    <w:rsid w:val="0008532D"/>
    <w:rsid w:val="0008579B"/>
    <w:rsid w:val="00085823"/>
    <w:rsid w:val="0008583B"/>
    <w:rsid w:val="000862B0"/>
    <w:rsid w:val="000863BA"/>
    <w:rsid w:val="00086595"/>
    <w:rsid w:val="000877ED"/>
    <w:rsid w:val="00087927"/>
    <w:rsid w:val="000879CE"/>
    <w:rsid w:val="00087D70"/>
    <w:rsid w:val="000900CE"/>
    <w:rsid w:val="000900DA"/>
    <w:rsid w:val="0009151B"/>
    <w:rsid w:val="0009249A"/>
    <w:rsid w:val="00092585"/>
    <w:rsid w:val="00093F44"/>
    <w:rsid w:val="0009495F"/>
    <w:rsid w:val="00094B7F"/>
    <w:rsid w:val="00094F1E"/>
    <w:rsid w:val="0009663F"/>
    <w:rsid w:val="00097356"/>
    <w:rsid w:val="00097DE4"/>
    <w:rsid w:val="000A0813"/>
    <w:rsid w:val="000A0DDF"/>
    <w:rsid w:val="000A13F4"/>
    <w:rsid w:val="000A33F8"/>
    <w:rsid w:val="000A3997"/>
    <w:rsid w:val="000A39FF"/>
    <w:rsid w:val="000A3C74"/>
    <w:rsid w:val="000A4A52"/>
    <w:rsid w:val="000A4BB3"/>
    <w:rsid w:val="000A6A83"/>
    <w:rsid w:val="000A6B52"/>
    <w:rsid w:val="000A7624"/>
    <w:rsid w:val="000B0C0F"/>
    <w:rsid w:val="000B0FE5"/>
    <w:rsid w:val="000B26FE"/>
    <w:rsid w:val="000B28B9"/>
    <w:rsid w:val="000B2947"/>
    <w:rsid w:val="000B2AAC"/>
    <w:rsid w:val="000B3486"/>
    <w:rsid w:val="000B3C59"/>
    <w:rsid w:val="000B48B8"/>
    <w:rsid w:val="000B4D2A"/>
    <w:rsid w:val="000B5E26"/>
    <w:rsid w:val="000B661C"/>
    <w:rsid w:val="000B6D1B"/>
    <w:rsid w:val="000C0047"/>
    <w:rsid w:val="000C0E1E"/>
    <w:rsid w:val="000C1DF8"/>
    <w:rsid w:val="000C2CEE"/>
    <w:rsid w:val="000C2E2C"/>
    <w:rsid w:val="000C2FB4"/>
    <w:rsid w:val="000C412E"/>
    <w:rsid w:val="000C45E7"/>
    <w:rsid w:val="000C46FD"/>
    <w:rsid w:val="000C4C22"/>
    <w:rsid w:val="000C4FE6"/>
    <w:rsid w:val="000C5F20"/>
    <w:rsid w:val="000C6CF3"/>
    <w:rsid w:val="000C7217"/>
    <w:rsid w:val="000C764B"/>
    <w:rsid w:val="000C7DDD"/>
    <w:rsid w:val="000D00A8"/>
    <w:rsid w:val="000D0F52"/>
    <w:rsid w:val="000D2432"/>
    <w:rsid w:val="000D31AB"/>
    <w:rsid w:val="000D3283"/>
    <w:rsid w:val="000D442D"/>
    <w:rsid w:val="000D4614"/>
    <w:rsid w:val="000D4A9F"/>
    <w:rsid w:val="000D54B1"/>
    <w:rsid w:val="000D54BF"/>
    <w:rsid w:val="000D5865"/>
    <w:rsid w:val="000D5B26"/>
    <w:rsid w:val="000D60B1"/>
    <w:rsid w:val="000D6236"/>
    <w:rsid w:val="000D69EA"/>
    <w:rsid w:val="000D71A7"/>
    <w:rsid w:val="000E00C1"/>
    <w:rsid w:val="000E0B4D"/>
    <w:rsid w:val="000E0B93"/>
    <w:rsid w:val="000E1BAA"/>
    <w:rsid w:val="000E258E"/>
    <w:rsid w:val="000E30AA"/>
    <w:rsid w:val="000E3463"/>
    <w:rsid w:val="000E376E"/>
    <w:rsid w:val="000E43CA"/>
    <w:rsid w:val="000E446A"/>
    <w:rsid w:val="000E577A"/>
    <w:rsid w:val="000E6044"/>
    <w:rsid w:val="000E6718"/>
    <w:rsid w:val="000E6E59"/>
    <w:rsid w:val="000E78B6"/>
    <w:rsid w:val="000F03BC"/>
    <w:rsid w:val="000F0588"/>
    <w:rsid w:val="000F0EF7"/>
    <w:rsid w:val="000F1147"/>
    <w:rsid w:val="000F1664"/>
    <w:rsid w:val="000F27EA"/>
    <w:rsid w:val="000F2BA0"/>
    <w:rsid w:val="000F3D0A"/>
    <w:rsid w:val="000F5121"/>
    <w:rsid w:val="000F59D5"/>
    <w:rsid w:val="000F5AE7"/>
    <w:rsid w:val="000F5B88"/>
    <w:rsid w:val="000F68A9"/>
    <w:rsid w:val="000F6C17"/>
    <w:rsid w:val="000F770D"/>
    <w:rsid w:val="000F7ADF"/>
    <w:rsid w:val="001004E7"/>
    <w:rsid w:val="00100B88"/>
    <w:rsid w:val="00100CB0"/>
    <w:rsid w:val="00100F10"/>
    <w:rsid w:val="00101580"/>
    <w:rsid w:val="00101BAA"/>
    <w:rsid w:val="00102149"/>
    <w:rsid w:val="00102AB8"/>
    <w:rsid w:val="00102BBE"/>
    <w:rsid w:val="0010396A"/>
    <w:rsid w:val="00103A43"/>
    <w:rsid w:val="0010403D"/>
    <w:rsid w:val="0010411E"/>
    <w:rsid w:val="00104A41"/>
    <w:rsid w:val="00104C48"/>
    <w:rsid w:val="00105028"/>
    <w:rsid w:val="00105045"/>
    <w:rsid w:val="0010628B"/>
    <w:rsid w:val="001070A4"/>
    <w:rsid w:val="00107630"/>
    <w:rsid w:val="001077F0"/>
    <w:rsid w:val="00110586"/>
    <w:rsid w:val="001108A0"/>
    <w:rsid w:val="00111A9B"/>
    <w:rsid w:val="00111BD1"/>
    <w:rsid w:val="00112379"/>
    <w:rsid w:val="00112471"/>
    <w:rsid w:val="00112BA8"/>
    <w:rsid w:val="0011310F"/>
    <w:rsid w:val="00113990"/>
    <w:rsid w:val="00114504"/>
    <w:rsid w:val="00115027"/>
    <w:rsid w:val="00115096"/>
    <w:rsid w:val="001157FE"/>
    <w:rsid w:val="0011598D"/>
    <w:rsid w:val="00116492"/>
    <w:rsid w:val="001175AA"/>
    <w:rsid w:val="00120633"/>
    <w:rsid w:val="00121700"/>
    <w:rsid w:val="00121C2F"/>
    <w:rsid w:val="00121C82"/>
    <w:rsid w:val="00121FC6"/>
    <w:rsid w:val="00122004"/>
    <w:rsid w:val="001221E7"/>
    <w:rsid w:val="00122869"/>
    <w:rsid w:val="0012292C"/>
    <w:rsid w:val="00122ED1"/>
    <w:rsid w:val="00122EFD"/>
    <w:rsid w:val="00123103"/>
    <w:rsid w:val="001232D0"/>
    <w:rsid w:val="00123554"/>
    <w:rsid w:val="00123581"/>
    <w:rsid w:val="00123EA5"/>
    <w:rsid w:val="0012403F"/>
    <w:rsid w:val="00125BB9"/>
    <w:rsid w:val="00125CEC"/>
    <w:rsid w:val="001262D4"/>
    <w:rsid w:val="00126D1F"/>
    <w:rsid w:val="00127139"/>
    <w:rsid w:val="00127A9D"/>
    <w:rsid w:val="00130141"/>
    <w:rsid w:val="00130772"/>
    <w:rsid w:val="00130B2E"/>
    <w:rsid w:val="00132490"/>
    <w:rsid w:val="001326B0"/>
    <w:rsid w:val="001326FC"/>
    <w:rsid w:val="00132B02"/>
    <w:rsid w:val="00132BB8"/>
    <w:rsid w:val="0013309D"/>
    <w:rsid w:val="00133A3F"/>
    <w:rsid w:val="00134F59"/>
    <w:rsid w:val="00135834"/>
    <w:rsid w:val="001359BC"/>
    <w:rsid w:val="00135C25"/>
    <w:rsid w:val="00136741"/>
    <w:rsid w:val="00136B09"/>
    <w:rsid w:val="00136C70"/>
    <w:rsid w:val="00137309"/>
    <w:rsid w:val="001376BD"/>
    <w:rsid w:val="0014042E"/>
    <w:rsid w:val="001407CA"/>
    <w:rsid w:val="00140D7F"/>
    <w:rsid w:val="001415FA"/>
    <w:rsid w:val="00141C86"/>
    <w:rsid w:val="001426AC"/>
    <w:rsid w:val="001426C3"/>
    <w:rsid w:val="001428DF"/>
    <w:rsid w:val="00142CC0"/>
    <w:rsid w:val="00143C10"/>
    <w:rsid w:val="00144379"/>
    <w:rsid w:val="00144A9A"/>
    <w:rsid w:val="00145208"/>
    <w:rsid w:val="00145506"/>
    <w:rsid w:val="001456D9"/>
    <w:rsid w:val="001478EE"/>
    <w:rsid w:val="001509FC"/>
    <w:rsid w:val="00150A4C"/>
    <w:rsid w:val="00151052"/>
    <w:rsid w:val="001510F9"/>
    <w:rsid w:val="0015199C"/>
    <w:rsid w:val="00151A80"/>
    <w:rsid w:val="00151EC8"/>
    <w:rsid w:val="00151FD0"/>
    <w:rsid w:val="001521AA"/>
    <w:rsid w:val="00154618"/>
    <w:rsid w:val="00154B45"/>
    <w:rsid w:val="00155817"/>
    <w:rsid w:val="001559C5"/>
    <w:rsid w:val="001565B3"/>
    <w:rsid w:val="001619C3"/>
    <w:rsid w:val="00162664"/>
    <w:rsid w:val="00162674"/>
    <w:rsid w:val="00162CD5"/>
    <w:rsid w:val="00163256"/>
    <w:rsid w:val="00163441"/>
    <w:rsid w:val="00163C2E"/>
    <w:rsid w:val="00164126"/>
    <w:rsid w:val="00164473"/>
    <w:rsid w:val="00164958"/>
    <w:rsid w:val="00164CA4"/>
    <w:rsid w:val="001653A4"/>
    <w:rsid w:val="001659B2"/>
    <w:rsid w:val="00165D1D"/>
    <w:rsid w:val="001665FE"/>
    <w:rsid w:val="001668EC"/>
    <w:rsid w:val="001702F6"/>
    <w:rsid w:val="001704B1"/>
    <w:rsid w:val="001707BE"/>
    <w:rsid w:val="00170959"/>
    <w:rsid w:val="00171D4F"/>
    <w:rsid w:val="00173114"/>
    <w:rsid w:val="0017430A"/>
    <w:rsid w:val="001744FC"/>
    <w:rsid w:val="001745FB"/>
    <w:rsid w:val="001758E3"/>
    <w:rsid w:val="00175CC2"/>
    <w:rsid w:val="00175D23"/>
    <w:rsid w:val="00176DA0"/>
    <w:rsid w:val="0017708F"/>
    <w:rsid w:val="00177304"/>
    <w:rsid w:val="00177700"/>
    <w:rsid w:val="001778C2"/>
    <w:rsid w:val="00177A14"/>
    <w:rsid w:val="00181829"/>
    <w:rsid w:val="00182319"/>
    <w:rsid w:val="00183246"/>
    <w:rsid w:val="001833AF"/>
    <w:rsid w:val="00183F7A"/>
    <w:rsid w:val="00184E12"/>
    <w:rsid w:val="0018501C"/>
    <w:rsid w:val="00185453"/>
    <w:rsid w:val="001865EE"/>
    <w:rsid w:val="00190D46"/>
    <w:rsid w:val="0019116B"/>
    <w:rsid w:val="00191871"/>
    <w:rsid w:val="001928DE"/>
    <w:rsid w:val="00192E42"/>
    <w:rsid w:val="0019316B"/>
    <w:rsid w:val="00193BF3"/>
    <w:rsid w:val="001945E8"/>
    <w:rsid w:val="00196C96"/>
    <w:rsid w:val="00196F16"/>
    <w:rsid w:val="00196F9B"/>
    <w:rsid w:val="001975FB"/>
    <w:rsid w:val="00197F6C"/>
    <w:rsid w:val="001A020A"/>
    <w:rsid w:val="001A0607"/>
    <w:rsid w:val="001A0BE2"/>
    <w:rsid w:val="001A0ECA"/>
    <w:rsid w:val="001A0FA6"/>
    <w:rsid w:val="001A28C4"/>
    <w:rsid w:val="001A2E51"/>
    <w:rsid w:val="001A2E7A"/>
    <w:rsid w:val="001A2EE4"/>
    <w:rsid w:val="001A3060"/>
    <w:rsid w:val="001A3300"/>
    <w:rsid w:val="001A36A8"/>
    <w:rsid w:val="001A413B"/>
    <w:rsid w:val="001A4521"/>
    <w:rsid w:val="001A4B43"/>
    <w:rsid w:val="001A4F9A"/>
    <w:rsid w:val="001A5390"/>
    <w:rsid w:val="001A5E8D"/>
    <w:rsid w:val="001A6A07"/>
    <w:rsid w:val="001B0616"/>
    <w:rsid w:val="001B0A44"/>
    <w:rsid w:val="001B0AA2"/>
    <w:rsid w:val="001B0EC3"/>
    <w:rsid w:val="001B1264"/>
    <w:rsid w:val="001B13C8"/>
    <w:rsid w:val="001B144D"/>
    <w:rsid w:val="001B34CD"/>
    <w:rsid w:val="001B3942"/>
    <w:rsid w:val="001B4376"/>
    <w:rsid w:val="001B46D4"/>
    <w:rsid w:val="001B5022"/>
    <w:rsid w:val="001B59DE"/>
    <w:rsid w:val="001B5D0F"/>
    <w:rsid w:val="001B61C1"/>
    <w:rsid w:val="001B632C"/>
    <w:rsid w:val="001B7091"/>
    <w:rsid w:val="001B72E7"/>
    <w:rsid w:val="001C0343"/>
    <w:rsid w:val="001C040E"/>
    <w:rsid w:val="001C0504"/>
    <w:rsid w:val="001C0788"/>
    <w:rsid w:val="001C0ED9"/>
    <w:rsid w:val="001C1390"/>
    <w:rsid w:val="001C13AC"/>
    <w:rsid w:val="001C144A"/>
    <w:rsid w:val="001C1EB4"/>
    <w:rsid w:val="001C2003"/>
    <w:rsid w:val="001C241E"/>
    <w:rsid w:val="001C283F"/>
    <w:rsid w:val="001C308A"/>
    <w:rsid w:val="001C3A08"/>
    <w:rsid w:val="001C439F"/>
    <w:rsid w:val="001C4DAE"/>
    <w:rsid w:val="001C5054"/>
    <w:rsid w:val="001C5AD0"/>
    <w:rsid w:val="001C6667"/>
    <w:rsid w:val="001C7C8D"/>
    <w:rsid w:val="001D1073"/>
    <w:rsid w:val="001D13A0"/>
    <w:rsid w:val="001D1656"/>
    <w:rsid w:val="001D1A84"/>
    <w:rsid w:val="001D1CF9"/>
    <w:rsid w:val="001D273E"/>
    <w:rsid w:val="001D3885"/>
    <w:rsid w:val="001D38CF"/>
    <w:rsid w:val="001D4289"/>
    <w:rsid w:val="001D51A9"/>
    <w:rsid w:val="001D528C"/>
    <w:rsid w:val="001D663D"/>
    <w:rsid w:val="001E0251"/>
    <w:rsid w:val="001E0458"/>
    <w:rsid w:val="001E0510"/>
    <w:rsid w:val="001E1157"/>
    <w:rsid w:val="001E1C75"/>
    <w:rsid w:val="001E25A4"/>
    <w:rsid w:val="001E27AE"/>
    <w:rsid w:val="001E290E"/>
    <w:rsid w:val="001E3CFF"/>
    <w:rsid w:val="001E411A"/>
    <w:rsid w:val="001E4D11"/>
    <w:rsid w:val="001E5715"/>
    <w:rsid w:val="001E5F61"/>
    <w:rsid w:val="001E6359"/>
    <w:rsid w:val="001E64E6"/>
    <w:rsid w:val="001E72A4"/>
    <w:rsid w:val="001E7A19"/>
    <w:rsid w:val="001E7FB2"/>
    <w:rsid w:val="001F003A"/>
    <w:rsid w:val="001F0A45"/>
    <w:rsid w:val="001F1B3D"/>
    <w:rsid w:val="001F270E"/>
    <w:rsid w:val="001F3075"/>
    <w:rsid w:val="001F33E0"/>
    <w:rsid w:val="001F33EA"/>
    <w:rsid w:val="001F3A5E"/>
    <w:rsid w:val="001F3CDA"/>
    <w:rsid w:val="001F479B"/>
    <w:rsid w:val="001F4CE7"/>
    <w:rsid w:val="001F5E1F"/>
    <w:rsid w:val="001F69F6"/>
    <w:rsid w:val="001F6A31"/>
    <w:rsid w:val="001F6EF4"/>
    <w:rsid w:val="001F6F9C"/>
    <w:rsid w:val="001F7607"/>
    <w:rsid w:val="001F76CC"/>
    <w:rsid w:val="001F7844"/>
    <w:rsid w:val="0020026C"/>
    <w:rsid w:val="00200AD9"/>
    <w:rsid w:val="0020129D"/>
    <w:rsid w:val="00202440"/>
    <w:rsid w:val="002027D8"/>
    <w:rsid w:val="002036EF"/>
    <w:rsid w:val="00203F8A"/>
    <w:rsid w:val="00204162"/>
    <w:rsid w:val="00204325"/>
    <w:rsid w:val="00205811"/>
    <w:rsid w:val="00205923"/>
    <w:rsid w:val="00206169"/>
    <w:rsid w:val="00206602"/>
    <w:rsid w:val="002068F7"/>
    <w:rsid w:val="002070C1"/>
    <w:rsid w:val="00207F39"/>
    <w:rsid w:val="00210872"/>
    <w:rsid w:val="00211183"/>
    <w:rsid w:val="002136CF"/>
    <w:rsid w:val="002137B6"/>
    <w:rsid w:val="002137C6"/>
    <w:rsid w:val="00213DD1"/>
    <w:rsid w:val="00214656"/>
    <w:rsid w:val="00216C25"/>
    <w:rsid w:val="00217951"/>
    <w:rsid w:val="00220145"/>
    <w:rsid w:val="002204C5"/>
    <w:rsid w:val="00220E0F"/>
    <w:rsid w:val="00222015"/>
    <w:rsid w:val="002220AA"/>
    <w:rsid w:val="00222AB6"/>
    <w:rsid w:val="00222FD4"/>
    <w:rsid w:val="002230C1"/>
    <w:rsid w:val="002231C5"/>
    <w:rsid w:val="002232B3"/>
    <w:rsid w:val="002232E8"/>
    <w:rsid w:val="00224246"/>
    <w:rsid w:val="00225C04"/>
    <w:rsid w:val="00225C5B"/>
    <w:rsid w:val="0022676E"/>
    <w:rsid w:val="002276D6"/>
    <w:rsid w:val="00227E13"/>
    <w:rsid w:val="00230CCE"/>
    <w:rsid w:val="00232A7E"/>
    <w:rsid w:val="00233E1A"/>
    <w:rsid w:val="002355DD"/>
    <w:rsid w:val="00235654"/>
    <w:rsid w:val="0023665C"/>
    <w:rsid w:val="00237918"/>
    <w:rsid w:val="00241D76"/>
    <w:rsid w:val="002428AA"/>
    <w:rsid w:val="00242ADB"/>
    <w:rsid w:val="00243188"/>
    <w:rsid w:val="002437B8"/>
    <w:rsid w:val="0024393F"/>
    <w:rsid w:val="00243A96"/>
    <w:rsid w:val="00245075"/>
    <w:rsid w:val="002454B7"/>
    <w:rsid w:val="002463CD"/>
    <w:rsid w:val="002471E6"/>
    <w:rsid w:val="00247B47"/>
    <w:rsid w:val="0025055F"/>
    <w:rsid w:val="00251565"/>
    <w:rsid w:val="002515A2"/>
    <w:rsid w:val="00252413"/>
    <w:rsid w:val="00252F0B"/>
    <w:rsid w:val="0025366B"/>
    <w:rsid w:val="00253688"/>
    <w:rsid w:val="002538A3"/>
    <w:rsid w:val="00254175"/>
    <w:rsid w:val="002542E1"/>
    <w:rsid w:val="002545A2"/>
    <w:rsid w:val="00254867"/>
    <w:rsid w:val="002549E4"/>
    <w:rsid w:val="00254E91"/>
    <w:rsid w:val="002555F1"/>
    <w:rsid w:val="00256730"/>
    <w:rsid w:val="00256852"/>
    <w:rsid w:val="00260273"/>
    <w:rsid w:val="00260B7E"/>
    <w:rsid w:val="00261877"/>
    <w:rsid w:val="002618F8"/>
    <w:rsid w:val="002622F0"/>
    <w:rsid w:val="002625CC"/>
    <w:rsid w:val="00262B23"/>
    <w:rsid w:val="002637AA"/>
    <w:rsid w:val="00263C5E"/>
    <w:rsid w:val="00264619"/>
    <w:rsid w:val="0026474E"/>
    <w:rsid w:val="002647C2"/>
    <w:rsid w:val="0026487E"/>
    <w:rsid w:val="0026495E"/>
    <w:rsid w:val="00264E9C"/>
    <w:rsid w:val="00265D0A"/>
    <w:rsid w:val="002669FC"/>
    <w:rsid w:val="00266B31"/>
    <w:rsid w:val="00266DF5"/>
    <w:rsid w:val="00267A4E"/>
    <w:rsid w:val="00267E09"/>
    <w:rsid w:val="0027097C"/>
    <w:rsid w:val="00271478"/>
    <w:rsid w:val="002716E8"/>
    <w:rsid w:val="002721C2"/>
    <w:rsid w:val="002724F4"/>
    <w:rsid w:val="002725F6"/>
    <w:rsid w:val="00273428"/>
    <w:rsid w:val="00274752"/>
    <w:rsid w:val="00274B80"/>
    <w:rsid w:val="00275901"/>
    <w:rsid w:val="00276464"/>
    <w:rsid w:val="002768F3"/>
    <w:rsid w:val="00276FBA"/>
    <w:rsid w:val="00277D7C"/>
    <w:rsid w:val="0028071F"/>
    <w:rsid w:val="00280AB5"/>
    <w:rsid w:val="00280C2C"/>
    <w:rsid w:val="002816F5"/>
    <w:rsid w:val="00281848"/>
    <w:rsid w:val="00281A3D"/>
    <w:rsid w:val="00281BB0"/>
    <w:rsid w:val="00282FB2"/>
    <w:rsid w:val="0028330D"/>
    <w:rsid w:val="00283949"/>
    <w:rsid w:val="00283E34"/>
    <w:rsid w:val="002846DE"/>
    <w:rsid w:val="002854B2"/>
    <w:rsid w:val="00286FBE"/>
    <w:rsid w:val="00290496"/>
    <w:rsid w:val="00290F13"/>
    <w:rsid w:val="00291100"/>
    <w:rsid w:val="00291BA0"/>
    <w:rsid w:val="002935B3"/>
    <w:rsid w:val="00293B74"/>
    <w:rsid w:val="00294024"/>
    <w:rsid w:val="002953EC"/>
    <w:rsid w:val="002970D9"/>
    <w:rsid w:val="002A0FF6"/>
    <w:rsid w:val="002A15A9"/>
    <w:rsid w:val="002A230F"/>
    <w:rsid w:val="002A314A"/>
    <w:rsid w:val="002A380D"/>
    <w:rsid w:val="002A3F08"/>
    <w:rsid w:val="002A4C1F"/>
    <w:rsid w:val="002A54A4"/>
    <w:rsid w:val="002A5546"/>
    <w:rsid w:val="002A5EF1"/>
    <w:rsid w:val="002A7AE1"/>
    <w:rsid w:val="002A7D16"/>
    <w:rsid w:val="002A7DC0"/>
    <w:rsid w:val="002B049A"/>
    <w:rsid w:val="002B0561"/>
    <w:rsid w:val="002B0FF6"/>
    <w:rsid w:val="002B16CD"/>
    <w:rsid w:val="002B2214"/>
    <w:rsid w:val="002B2B4D"/>
    <w:rsid w:val="002B2FD6"/>
    <w:rsid w:val="002B42A7"/>
    <w:rsid w:val="002B475A"/>
    <w:rsid w:val="002B4B0C"/>
    <w:rsid w:val="002B4C66"/>
    <w:rsid w:val="002B4E11"/>
    <w:rsid w:val="002B53DD"/>
    <w:rsid w:val="002B5B06"/>
    <w:rsid w:val="002B73F6"/>
    <w:rsid w:val="002B74C5"/>
    <w:rsid w:val="002B782A"/>
    <w:rsid w:val="002C0096"/>
    <w:rsid w:val="002C029A"/>
    <w:rsid w:val="002C051B"/>
    <w:rsid w:val="002C15A4"/>
    <w:rsid w:val="002C2AF7"/>
    <w:rsid w:val="002C44E2"/>
    <w:rsid w:val="002C452E"/>
    <w:rsid w:val="002C6476"/>
    <w:rsid w:val="002C715E"/>
    <w:rsid w:val="002C7753"/>
    <w:rsid w:val="002C7B26"/>
    <w:rsid w:val="002D0276"/>
    <w:rsid w:val="002D0465"/>
    <w:rsid w:val="002D052E"/>
    <w:rsid w:val="002D0915"/>
    <w:rsid w:val="002D1839"/>
    <w:rsid w:val="002D1929"/>
    <w:rsid w:val="002D1D74"/>
    <w:rsid w:val="002D27E8"/>
    <w:rsid w:val="002D3351"/>
    <w:rsid w:val="002D3D9B"/>
    <w:rsid w:val="002D566C"/>
    <w:rsid w:val="002D665F"/>
    <w:rsid w:val="002D682C"/>
    <w:rsid w:val="002D713A"/>
    <w:rsid w:val="002D744D"/>
    <w:rsid w:val="002D750C"/>
    <w:rsid w:val="002D76AF"/>
    <w:rsid w:val="002D7C72"/>
    <w:rsid w:val="002E02E4"/>
    <w:rsid w:val="002E21CB"/>
    <w:rsid w:val="002E272A"/>
    <w:rsid w:val="002E2AE6"/>
    <w:rsid w:val="002E3390"/>
    <w:rsid w:val="002E435E"/>
    <w:rsid w:val="002E46A6"/>
    <w:rsid w:val="002E58D1"/>
    <w:rsid w:val="002E62CB"/>
    <w:rsid w:val="002E6590"/>
    <w:rsid w:val="002E72E6"/>
    <w:rsid w:val="002E75F8"/>
    <w:rsid w:val="002E781C"/>
    <w:rsid w:val="002E7DB3"/>
    <w:rsid w:val="002F03FA"/>
    <w:rsid w:val="002F04F2"/>
    <w:rsid w:val="002F0601"/>
    <w:rsid w:val="002F0762"/>
    <w:rsid w:val="002F100F"/>
    <w:rsid w:val="002F114A"/>
    <w:rsid w:val="002F26DA"/>
    <w:rsid w:val="002F2A13"/>
    <w:rsid w:val="002F2AD5"/>
    <w:rsid w:val="002F2B4E"/>
    <w:rsid w:val="002F3F7F"/>
    <w:rsid w:val="002F446C"/>
    <w:rsid w:val="002F53E2"/>
    <w:rsid w:val="002F5BFB"/>
    <w:rsid w:val="002F6D02"/>
    <w:rsid w:val="002F71BB"/>
    <w:rsid w:val="002F76E8"/>
    <w:rsid w:val="002F77CB"/>
    <w:rsid w:val="00301C63"/>
    <w:rsid w:val="00301DEC"/>
    <w:rsid w:val="00302435"/>
    <w:rsid w:val="0030282C"/>
    <w:rsid w:val="00303ABA"/>
    <w:rsid w:val="00304A07"/>
    <w:rsid w:val="00304C9A"/>
    <w:rsid w:val="0030505C"/>
    <w:rsid w:val="003050CE"/>
    <w:rsid w:val="0030533D"/>
    <w:rsid w:val="0030536A"/>
    <w:rsid w:val="003071AD"/>
    <w:rsid w:val="003074AF"/>
    <w:rsid w:val="00307F56"/>
    <w:rsid w:val="00310824"/>
    <w:rsid w:val="00310969"/>
    <w:rsid w:val="00310DDE"/>
    <w:rsid w:val="00310EFE"/>
    <w:rsid w:val="003113EC"/>
    <w:rsid w:val="00311AD6"/>
    <w:rsid w:val="00311C95"/>
    <w:rsid w:val="0031210C"/>
    <w:rsid w:val="0031248D"/>
    <w:rsid w:val="003126C0"/>
    <w:rsid w:val="0031307A"/>
    <w:rsid w:val="00314F27"/>
    <w:rsid w:val="00316338"/>
    <w:rsid w:val="003163AF"/>
    <w:rsid w:val="00317115"/>
    <w:rsid w:val="00317D08"/>
    <w:rsid w:val="00317D28"/>
    <w:rsid w:val="003207A0"/>
    <w:rsid w:val="00320D57"/>
    <w:rsid w:val="00321AD6"/>
    <w:rsid w:val="00321B85"/>
    <w:rsid w:val="00321EA1"/>
    <w:rsid w:val="003233FD"/>
    <w:rsid w:val="0032340A"/>
    <w:rsid w:val="00323988"/>
    <w:rsid w:val="00323DF7"/>
    <w:rsid w:val="00323FFE"/>
    <w:rsid w:val="00325057"/>
    <w:rsid w:val="0032510B"/>
    <w:rsid w:val="00325B78"/>
    <w:rsid w:val="003262CF"/>
    <w:rsid w:val="00326E75"/>
    <w:rsid w:val="00327D1F"/>
    <w:rsid w:val="00327D3F"/>
    <w:rsid w:val="00330434"/>
    <w:rsid w:val="00330528"/>
    <w:rsid w:val="003308A2"/>
    <w:rsid w:val="00331799"/>
    <w:rsid w:val="003323A0"/>
    <w:rsid w:val="003324EC"/>
    <w:rsid w:val="0033269B"/>
    <w:rsid w:val="003327EC"/>
    <w:rsid w:val="00332D86"/>
    <w:rsid w:val="003330C2"/>
    <w:rsid w:val="00333BB8"/>
    <w:rsid w:val="00334096"/>
    <w:rsid w:val="003341C7"/>
    <w:rsid w:val="00334B98"/>
    <w:rsid w:val="00334F24"/>
    <w:rsid w:val="00335528"/>
    <w:rsid w:val="00335F8E"/>
    <w:rsid w:val="003368D4"/>
    <w:rsid w:val="00337F58"/>
    <w:rsid w:val="003413AA"/>
    <w:rsid w:val="00342204"/>
    <w:rsid w:val="00342A88"/>
    <w:rsid w:val="00342D10"/>
    <w:rsid w:val="0034309B"/>
    <w:rsid w:val="00343AC2"/>
    <w:rsid w:val="0034437F"/>
    <w:rsid w:val="00344734"/>
    <w:rsid w:val="00344FB5"/>
    <w:rsid w:val="00345003"/>
    <w:rsid w:val="003452CE"/>
    <w:rsid w:val="0034539F"/>
    <w:rsid w:val="00345DD9"/>
    <w:rsid w:val="003469E8"/>
    <w:rsid w:val="00346D43"/>
    <w:rsid w:val="003478EE"/>
    <w:rsid w:val="00347F6D"/>
    <w:rsid w:val="003502DE"/>
    <w:rsid w:val="003512AA"/>
    <w:rsid w:val="003519E3"/>
    <w:rsid w:val="003521B6"/>
    <w:rsid w:val="00352907"/>
    <w:rsid w:val="00353B34"/>
    <w:rsid w:val="00353DEC"/>
    <w:rsid w:val="00353F48"/>
    <w:rsid w:val="003547E9"/>
    <w:rsid w:val="00354E8D"/>
    <w:rsid w:val="00355BB0"/>
    <w:rsid w:val="00355BC4"/>
    <w:rsid w:val="00355D36"/>
    <w:rsid w:val="00356ADD"/>
    <w:rsid w:val="003604FF"/>
    <w:rsid w:val="003609AB"/>
    <w:rsid w:val="00361DA2"/>
    <w:rsid w:val="00361E31"/>
    <w:rsid w:val="00361E62"/>
    <w:rsid w:val="00362109"/>
    <w:rsid w:val="00362710"/>
    <w:rsid w:val="003647F8"/>
    <w:rsid w:val="0036569C"/>
    <w:rsid w:val="0036612D"/>
    <w:rsid w:val="003704EE"/>
    <w:rsid w:val="00370E1B"/>
    <w:rsid w:val="00370F40"/>
    <w:rsid w:val="0037110C"/>
    <w:rsid w:val="0037129C"/>
    <w:rsid w:val="00371523"/>
    <w:rsid w:val="003719FD"/>
    <w:rsid w:val="003726EA"/>
    <w:rsid w:val="00372AB8"/>
    <w:rsid w:val="00372E7F"/>
    <w:rsid w:val="00373236"/>
    <w:rsid w:val="00373868"/>
    <w:rsid w:val="003738E5"/>
    <w:rsid w:val="00374A6E"/>
    <w:rsid w:val="00375445"/>
    <w:rsid w:val="0037674A"/>
    <w:rsid w:val="00376FDB"/>
    <w:rsid w:val="00377432"/>
    <w:rsid w:val="00377BC0"/>
    <w:rsid w:val="00380F88"/>
    <w:rsid w:val="00382094"/>
    <w:rsid w:val="0038220E"/>
    <w:rsid w:val="00382712"/>
    <w:rsid w:val="003839BD"/>
    <w:rsid w:val="00384C39"/>
    <w:rsid w:val="003860CD"/>
    <w:rsid w:val="0038778E"/>
    <w:rsid w:val="003878E1"/>
    <w:rsid w:val="00387C77"/>
    <w:rsid w:val="003903DB"/>
    <w:rsid w:val="003916AC"/>
    <w:rsid w:val="003918D7"/>
    <w:rsid w:val="00392DC3"/>
    <w:rsid w:val="003942B9"/>
    <w:rsid w:val="00394E9C"/>
    <w:rsid w:val="00394F3B"/>
    <w:rsid w:val="0039616D"/>
    <w:rsid w:val="00396489"/>
    <w:rsid w:val="003968C4"/>
    <w:rsid w:val="00397A69"/>
    <w:rsid w:val="00397E00"/>
    <w:rsid w:val="003A0636"/>
    <w:rsid w:val="003A53C2"/>
    <w:rsid w:val="003A6116"/>
    <w:rsid w:val="003A619C"/>
    <w:rsid w:val="003A6431"/>
    <w:rsid w:val="003A6472"/>
    <w:rsid w:val="003A70E6"/>
    <w:rsid w:val="003B0074"/>
    <w:rsid w:val="003B11D8"/>
    <w:rsid w:val="003B2625"/>
    <w:rsid w:val="003B2780"/>
    <w:rsid w:val="003B2E97"/>
    <w:rsid w:val="003B2FBE"/>
    <w:rsid w:val="003B3408"/>
    <w:rsid w:val="003B3855"/>
    <w:rsid w:val="003B43BF"/>
    <w:rsid w:val="003B4838"/>
    <w:rsid w:val="003B51F1"/>
    <w:rsid w:val="003B5AA8"/>
    <w:rsid w:val="003B684C"/>
    <w:rsid w:val="003B75E4"/>
    <w:rsid w:val="003B7689"/>
    <w:rsid w:val="003B7AFA"/>
    <w:rsid w:val="003C0232"/>
    <w:rsid w:val="003C09D8"/>
    <w:rsid w:val="003C0A7D"/>
    <w:rsid w:val="003C15AC"/>
    <w:rsid w:val="003C323F"/>
    <w:rsid w:val="003C33DE"/>
    <w:rsid w:val="003C384D"/>
    <w:rsid w:val="003C40BB"/>
    <w:rsid w:val="003C4187"/>
    <w:rsid w:val="003C4547"/>
    <w:rsid w:val="003C4BC7"/>
    <w:rsid w:val="003C5061"/>
    <w:rsid w:val="003C520C"/>
    <w:rsid w:val="003C5AF5"/>
    <w:rsid w:val="003C60D8"/>
    <w:rsid w:val="003C60F5"/>
    <w:rsid w:val="003C62E9"/>
    <w:rsid w:val="003C6690"/>
    <w:rsid w:val="003C6709"/>
    <w:rsid w:val="003D0B65"/>
    <w:rsid w:val="003D0F77"/>
    <w:rsid w:val="003D1079"/>
    <w:rsid w:val="003D1767"/>
    <w:rsid w:val="003D1C8B"/>
    <w:rsid w:val="003D1D82"/>
    <w:rsid w:val="003D3827"/>
    <w:rsid w:val="003D613F"/>
    <w:rsid w:val="003D6144"/>
    <w:rsid w:val="003D670F"/>
    <w:rsid w:val="003D67B0"/>
    <w:rsid w:val="003D703E"/>
    <w:rsid w:val="003D7142"/>
    <w:rsid w:val="003D7D38"/>
    <w:rsid w:val="003E173E"/>
    <w:rsid w:val="003E18DF"/>
    <w:rsid w:val="003E2BE5"/>
    <w:rsid w:val="003E338A"/>
    <w:rsid w:val="003E381C"/>
    <w:rsid w:val="003E3A20"/>
    <w:rsid w:val="003E4CF8"/>
    <w:rsid w:val="003E54BD"/>
    <w:rsid w:val="003E5A40"/>
    <w:rsid w:val="003E5B2A"/>
    <w:rsid w:val="003E67F4"/>
    <w:rsid w:val="003E7141"/>
    <w:rsid w:val="003E74BA"/>
    <w:rsid w:val="003E7D1D"/>
    <w:rsid w:val="003F10BF"/>
    <w:rsid w:val="003F122D"/>
    <w:rsid w:val="003F28E9"/>
    <w:rsid w:val="003F2CE3"/>
    <w:rsid w:val="003F2CE4"/>
    <w:rsid w:val="003F3AA0"/>
    <w:rsid w:val="003F3B07"/>
    <w:rsid w:val="003F418D"/>
    <w:rsid w:val="003F55AF"/>
    <w:rsid w:val="003F5D41"/>
    <w:rsid w:val="003F5E31"/>
    <w:rsid w:val="003F730C"/>
    <w:rsid w:val="003F790D"/>
    <w:rsid w:val="003F7E5B"/>
    <w:rsid w:val="00400F86"/>
    <w:rsid w:val="0040146B"/>
    <w:rsid w:val="004016DC"/>
    <w:rsid w:val="0040288A"/>
    <w:rsid w:val="00402927"/>
    <w:rsid w:val="00403AB2"/>
    <w:rsid w:val="00403F21"/>
    <w:rsid w:val="00404926"/>
    <w:rsid w:val="00405590"/>
    <w:rsid w:val="004056B9"/>
    <w:rsid w:val="00406469"/>
    <w:rsid w:val="0040653E"/>
    <w:rsid w:val="0040688D"/>
    <w:rsid w:val="00406A37"/>
    <w:rsid w:val="00406EB1"/>
    <w:rsid w:val="00410B5B"/>
    <w:rsid w:val="0041148D"/>
    <w:rsid w:val="00411B58"/>
    <w:rsid w:val="00412187"/>
    <w:rsid w:val="00412400"/>
    <w:rsid w:val="00412414"/>
    <w:rsid w:val="00412722"/>
    <w:rsid w:val="00413F78"/>
    <w:rsid w:val="004142DA"/>
    <w:rsid w:val="00414835"/>
    <w:rsid w:val="00414FF0"/>
    <w:rsid w:val="00415A8E"/>
    <w:rsid w:val="00416396"/>
    <w:rsid w:val="0041721E"/>
    <w:rsid w:val="00417EA1"/>
    <w:rsid w:val="004214B4"/>
    <w:rsid w:val="004215E8"/>
    <w:rsid w:val="004219DC"/>
    <w:rsid w:val="00421A3A"/>
    <w:rsid w:val="00422A1B"/>
    <w:rsid w:val="0042317D"/>
    <w:rsid w:val="004231C6"/>
    <w:rsid w:val="004234DB"/>
    <w:rsid w:val="00425147"/>
    <w:rsid w:val="00425295"/>
    <w:rsid w:val="0042534C"/>
    <w:rsid w:val="00425D12"/>
    <w:rsid w:val="00426F2B"/>
    <w:rsid w:val="004278A1"/>
    <w:rsid w:val="00430033"/>
    <w:rsid w:val="004311B4"/>
    <w:rsid w:val="00431818"/>
    <w:rsid w:val="00431C31"/>
    <w:rsid w:val="00431CA2"/>
    <w:rsid w:val="004328F1"/>
    <w:rsid w:val="00432F6E"/>
    <w:rsid w:val="00433121"/>
    <w:rsid w:val="0043331B"/>
    <w:rsid w:val="0043351D"/>
    <w:rsid w:val="00434640"/>
    <w:rsid w:val="00434817"/>
    <w:rsid w:val="00435858"/>
    <w:rsid w:val="0043587B"/>
    <w:rsid w:val="00436AA1"/>
    <w:rsid w:val="00436DFB"/>
    <w:rsid w:val="004370D5"/>
    <w:rsid w:val="00437957"/>
    <w:rsid w:val="00437DC8"/>
    <w:rsid w:val="00440721"/>
    <w:rsid w:val="00440F31"/>
    <w:rsid w:val="00440FA7"/>
    <w:rsid w:val="00441036"/>
    <w:rsid w:val="004412FE"/>
    <w:rsid w:val="0044144E"/>
    <w:rsid w:val="00442AB5"/>
    <w:rsid w:val="0044344C"/>
    <w:rsid w:val="00443F7D"/>
    <w:rsid w:val="00443FA1"/>
    <w:rsid w:val="00444C37"/>
    <w:rsid w:val="0044505E"/>
    <w:rsid w:val="00445A46"/>
    <w:rsid w:val="00445F05"/>
    <w:rsid w:val="0044622A"/>
    <w:rsid w:val="004463CE"/>
    <w:rsid w:val="00446468"/>
    <w:rsid w:val="00446B25"/>
    <w:rsid w:val="00447C56"/>
    <w:rsid w:val="004500A8"/>
    <w:rsid w:val="00451451"/>
    <w:rsid w:val="0045161C"/>
    <w:rsid w:val="00451B31"/>
    <w:rsid w:val="00451B63"/>
    <w:rsid w:val="004530F1"/>
    <w:rsid w:val="00453631"/>
    <w:rsid w:val="004536A8"/>
    <w:rsid w:val="00453C91"/>
    <w:rsid w:val="004545D9"/>
    <w:rsid w:val="00454CD4"/>
    <w:rsid w:val="00455615"/>
    <w:rsid w:val="00455C75"/>
    <w:rsid w:val="0046020E"/>
    <w:rsid w:val="004602F7"/>
    <w:rsid w:val="0046076E"/>
    <w:rsid w:val="00460A9E"/>
    <w:rsid w:val="00461115"/>
    <w:rsid w:val="00461460"/>
    <w:rsid w:val="00461AAC"/>
    <w:rsid w:val="00461DA6"/>
    <w:rsid w:val="004622EF"/>
    <w:rsid w:val="00462335"/>
    <w:rsid w:val="00462732"/>
    <w:rsid w:val="00462F08"/>
    <w:rsid w:val="00463084"/>
    <w:rsid w:val="00466227"/>
    <w:rsid w:val="00466288"/>
    <w:rsid w:val="00467B94"/>
    <w:rsid w:val="00467F77"/>
    <w:rsid w:val="00470C9F"/>
    <w:rsid w:val="0047199E"/>
    <w:rsid w:val="004723D5"/>
    <w:rsid w:val="00472BB2"/>
    <w:rsid w:val="00472D49"/>
    <w:rsid w:val="004735F1"/>
    <w:rsid w:val="00473991"/>
    <w:rsid w:val="00473EFB"/>
    <w:rsid w:val="00475349"/>
    <w:rsid w:val="0047544F"/>
    <w:rsid w:val="0047561C"/>
    <w:rsid w:val="004756DD"/>
    <w:rsid w:val="004759D4"/>
    <w:rsid w:val="0047656F"/>
    <w:rsid w:val="0047658F"/>
    <w:rsid w:val="00476AAD"/>
    <w:rsid w:val="00477E03"/>
    <w:rsid w:val="00480634"/>
    <w:rsid w:val="00480793"/>
    <w:rsid w:val="0048113C"/>
    <w:rsid w:val="00481665"/>
    <w:rsid w:val="00484433"/>
    <w:rsid w:val="004854C2"/>
    <w:rsid w:val="004879FC"/>
    <w:rsid w:val="00491235"/>
    <w:rsid w:val="00491331"/>
    <w:rsid w:val="00491771"/>
    <w:rsid w:val="004949B2"/>
    <w:rsid w:val="00495198"/>
    <w:rsid w:val="00495310"/>
    <w:rsid w:val="00496984"/>
    <w:rsid w:val="00496C40"/>
    <w:rsid w:val="00496DA4"/>
    <w:rsid w:val="004975BB"/>
    <w:rsid w:val="0049795A"/>
    <w:rsid w:val="00497B07"/>
    <w:rsid w:val="00497D47"/>
    <w:rsid w:val="004A0ABB"/>
    <w:rsid w:val="004A12CD"/>
    <w:rsid w:val="004A1F2A"/>
    <w:rsid w:val="004A2BF7"/>
    <w:rsid w:val="004A30EA"/>
    <w:rsid w:val="004A46E9"/>
    <w:rsid w:val="004A4898"/>
    <w:rsid w:val="004A4A38"/>
    <w:rsid w:val="004A53CA"/>
    <w:rsid w:val="004A555E"/>
    <w:rsid w:val="004A6052"/>
    <w:rsid w:val="004A6FF4"/>
    <w:rsid w:val="004A7C2C"/>
    <w:rsid w:val="004B0508"/>
    <w:rsid w:val="004B1A73"/>
    <w:rsid w:val="004B30AD"/>
    <w:rsid w:val="004B316E"/>
    <w:rsid w:val="004B3482"/>
    <w:rsid w:val="004B3CA9"/>
    <w:rsid w:val="004B3D35"/>
    <w:rsid w:val="004B3F0F"/>
    <w:rsid w:val="004B40D8"/>
    <w:rsid w:val="004B4A33"/>
    <w:rsid w:val="004B4C38"/>
    <w:rsid w:val="004B5399"/>
    <w:rsid w:val="004B5CD8"/>
    <w:rsid w:val="004B68F0"/>
    <w:rsid w:val="004B738A"/>
    <w:rsid w:val="004B742A"/>
    <w:rsid w:val="004B75BD"/>
    <w:rsid w:val="004B7DE7"/>
    <w:rsid w:val="004C103A"/>
    <w:rsid w:val="004C1B87"/>
    <w:rsid w:val="004C1FD4"/>
    <w:rsid w:val="004C2BA7"/>
    <w:rsid w:val="004C2FED"/>
    <w:rsid w:val="004C38AF"/>
    <w:rsid w:val="004C397E"/>
    <w:rsid w:val="004C3BFC"/>
    <w:rsid w:val="004C4340"/>
    <w:rsid w:val="004C4D38"/>
    <w:rsid w:val="004C50D1"/>
    <w:rsid w:val="004C5EA8"/>
    <w:rsid w:val="004C6A17"/>
    <w:rsid w:val="004C725E"/>
    <w:rsid w:val="004C73B4"/>
    <w:rsid w:val="004D0317"/>
    <w:rsid w:val="004D03DD"/>
    <w:rsid w:val="004D1118"/>
    <w:rsid w:val="004D11F2"/>
    <w:rsid w:val="004D1258"/>
    <w:rsid w:val="004D21A4"/>
    <w:rsid w:val="004D303F"/>
    <w:rsid w:val="004D32E9"/>
    <w:rsid w:val="004D4150"/>
    <w:rsid w:val="004D518E"/>
    <w:rsid w:val="004D5803"/>
    <w:rsid w:val="004D6797"/>
    <w:rsid w:val="004D6E8A"/>
    <w:rsid w:val="004D6F30"/>
    <w:rsid w:val="004D7AF2"/>
    <w:rsid w:val="004E0E21"/>
    <w:rsid w:val="004E2099"/>
    <w:rsid w:val="004E3E12"/>
    <w:rsid w:val="004E3FE2"/>
    <w:rsid w:val="004E42BD"/>
    <w:rsid w:val="004E4C6D"/>
    <w:rsid w:val="004E52D6"/>
    <w:rsid w:val="004E69B1"/>
    <w:rsid w:val="004E6C79"/>
    <w:rsid w:val="004E75FF"/>
    <w:rsid w:val="004E7819"/>
    <w:rsid w:val="004E7C4A"/>
    <w:rsid w:val="004F0B33"/>
    <w:rsid w:val="004F19B4"/>
    <w:rsid w:val="004F1BC0"/>
    <w:rsid w:val="004F222D"/>
    <w:rsid w:val="004F31F8"/>
    <w:rsid w:val="004F3360"/>
    <w:rsid w:val="004F3451"/>
    <w:rsid w:val="004F380C"/>
    <w:rsid w:val="004F3C38"/>
    <w:rsid w:val="004F3D00"/>
    <w:rsid w:val="004F4AE0"/>
    <w:rsid w:val="004F4C78"/>
    <w:rsid w:val="004F4DCF"/>
    <w:rsid w:val="004F502B"/>
    <w:rsid w:val="004F5534"/>
    <w:rsid w:val="004F5628"/>
    <w:rsid w:val="004F5989"/>
    <w:rsid w:val="004F658B"/>
    <w:rsid w:val="004F69D4"/>
    <w:rsid w:val="004F745E"/>
    <w:rsid w:val="004F7B9E"/>
    <w:rsid w:val="005000D1"/>
    <w:rsid w:val="00500C80"/>
    <w:rsid w:val="0050134D"/>
    <w:rsid w:val="00501499"/>
    <w:rsid w:val="005018F6"/>
    <w:rsid w:val="00501EF8"/>
    <w:rsid w:val="00502066"/>
    <w:rsid w:val="00502073"/>
    <w:rsid w:val="00502F2D"/>
    <w:rsid w:val="00503EAE"/>
    <w:rsid w:val="005064FC"/>
    <w:rsid w:val="00510297"/>
    <w:rsid w:val="0051050A"/>
    <w:rsid w:val="00510BE1"/>
    <w:rsid w:val="00510FD3"/>
    <w:rsid w:val="0051169A"/>
    <w:rsid w:val="00511740"/>
    <w:rsid w:val="00511A3F"/>
    <w:rsid w:val="00511C06"/>
    <w:rsid w:val="00512C3F"/>
    <w:rsid w:val="005131B9"/>
    <w:rsid w:val="0051394F"/>
    <w:rsid w:val="00513F36"/>
    <w:rsid w:val="00514A3E"/>
    <w:rsid w:val="00514C4E"/>
    <w:rsid w:val="00514EF9"/>
    <w:rsid w:val="005150EA"/>
    <w:rsid w:val="005152A6"/>
    <w:rsid w:val="00515B0A"/>
    <w:rsid w:val="00515F92"/>
    <w:rsid w:val="00516CC8"/>
    <w:rsid w:val="00521200"/>
    <w:rsid w:val="005228E5"/>
    <w:rsid w:val="005242D3"/>
    <w:rsid w:val="00524323"/>
    <w:rsid w:val="00525157"/>
    <w:rsid w:val="00525406"/>
    <w:rsid w:val="00525E6A"/>
    <w:rsid w:val="00526496"/>
    <w:rsid w:val="00526CBB"/>
    <w:rsid w:val="00526F2C"/>
    <w:rsid w:val="0052735B"/>
    <w:rsid w:val="0053070E"/>
    <w:rsid w:val="005307B4"/>
    <w:rsid w:val="005315C6"/>
    <w:rsid w:val="005317E5"/>
    <w:rsid w:val="0053211A"/>
    <w:rsid w:val="00532414"/>
    <w:rsid w:val="005325EA"/>
    <w:rsid w:val="005328FE"/>
    <w:rsid w:val="005336D3"/>
    <w:rsid w:val="00534A82"/>
    <w:rsid w:val="00535242"/>
    <w:rsid w:val="00535462"/>
    <w:rsid w:val="00535C1F"/>
    <w:rsid w:val="005361A1"/>
    <w:rsid w:val="0053784A"/>
    <w:rsid w:val="00537C3A"/>
    <w:rsid w:val="00537DC3"/>
    <w:rsid w:val="00537FA9"/>
    <w:rsid w:val="00541130"/>
    <w:rsid w:val="005416A7"/>
    <w:rsid w:val="005418B4"/>
    <w:rsid w:val="005418D5"/>
    <w:rsid w:val="00542147"/>
    <w:rsid w:val="0054280C"/>
    <w:rsid w:val="00542EA2"/>
    <w:rsid w:val="00543893"/>
    <w:rsid w:val="00543FF7"/>
    <w:rsid w:val="00544302"/>
    <w:rsid w:val="00544470"/>
    <w:rsid w:val="00544FF6"/>
    <w:rsid w:val="00545D9B"/>
    <w:rsid w:val="0054680C"/>
    <w:rsid w:val="00546EA4"/>
    <w:rsid w:val="005470C9"/>
    <w:rsid w:val="0054772F"/>
    <w:rsid w:val="00547F0A"/>
    <w:rsid w:val="00550018"/>
    <w:rsid w:val="005502BA"/>
    <w:rsid w:val="0055074D"/>
    <w:rsid w:val="005509E4"/>
    <w:rsid w:val="00550DED"/>
    <w:rsid w:val="00550F53"/>
    <w:rsid w:val="00551234"/>
    <w:rsid w:val="005523DD"/>
    <w:rsid w:val="00552451"/>
    <w:rsid w:val="00552F7E"/>
    <w:rsid w:val="005533D2"/>
    <w:rsid w:val="005537A9"/>
    <w:rsid w:val="00553C1B"/>
    <w:rsid w:val="00555233"/>
    <w:rsid w:val="005552F4"/>
    <w:rsid w:val="00555A91"/>
    <w:rsid w:val="0055648C"/>
    <w:rsid w:val="00556658"/>
    <w:rsid w:val="005606AD"/>
    <w:rsid w:val="00560909"/>
    <w:rsid w:val="00561766"/>
    <w:rsid w:val="005627A9"/>
    <w:rsid w:val="00562A12"/>
    <w:rsid w:val="00562B6A"/>
    <w:rsid w:val="0056311B"/>
    <w:rsid w:val="00563A6B"/>
    <w:rsid w:val="005641CA"/>
    <w:rsid w:val="00564B19"/>
    <w:rsid w:val="00564C3A"/>
    <w:rsid w:val="00564EE7"/>
    <w:rsid w:val="00565F90"/>
    <w:rsid w:val="005666DA"/>
    <w:rsid w:val="00567926"/>
    <w:rsid w:val="005721F5"/>
    <w:rsid w:val="00572F51"/>
    <w:rsid w:val="00572F7B"/>
    <w:rsid w:val="005730A2"/>
    <w:rsid w:val="00573545"/>
    <w:rsid w:val="005750D6"/>
    <w:rsid w:val="00575CAE"/>
    <w:rsid w:val="00576684"/>
    <w:rsid w:val="005771B3"/>
    <w:rsid w:val="0057724D"/>
    <w:rsid w:val="00577CCA"/>
    <w:rsid w:val="00577DB3"/>
    <w:rsid w:val="00580901"/>
    <w:rsid w:val="00580AA6"/>
    <w:rsid w:val="0058147F"/>
    <w:rsid w:val="00581D17"/>
    <w:rsid w:val="00581E3D"/>
    <w:rsid w:val="0058255A"/>
    <w:rsid w:val="00583E64"/>
    <w:rsid w:val="00583E97"/>
    <w:rsid w:val="0058416E"/>
    <w:rsid w:val="00584652"/>
    <w:rsid w:val="005859BC"/>
    <w:rsid w:val="00586060"/>
    <w:rsid w:val="005860E7"/>
    <w:rsid w:val="005872CC"/>
    <w:rsid w:val="00587953"/>
    <w:rsid w:val="00587B38"/>
    <w:rsid w:val="00587FAB"/>
    <w:rsid w:val="005909A0"/>
    <w:rsid w:val="00591615"/>
    <w:rsid w:val="0059275D"/>
    <w:rsid w:val="00592B5E"/>
    <w:rsid w:val="005939A2"/>
    <w:rsid w:val="005943E7"/>
    <w:rsid w:val="00594C8B"/>
    <w:rsid w:val="00594EC0"/>
    <w:rsid w:val="005950FB"/>
    <w:rsid w:val="005953F6"/>
    <w:rsid w:val="00595587"/>
    <w:rsid w:val="00596DBD"/>
    <w:rsid w:val="005A026D"/>
    <w:rsid w:val="005A2264"/>
    <w:rsid w:val="005A23E6"/>
    <w:rsid w:val="005A3407"/>
    <w:rsid w:val="005A3713"/>
    <w:rsid w:val="005A3739"/>
    <w:rsid w:val="005A396D"/>
    <w:rsid w:val="005A4071"/>
    <w:rsid w:val="005A61C8"/>
    <w:rsid w:val="005A66E6"/>
    <w:rsid w:val="005A681A"/>
    <w:rsid w:val="005A6C05"/>
    <w:rsid w:val="005A7016"/>
    <w:rsid w:val="005A7032"/>
    <w:rsid w:val="005A7C3F"/>
    <w:rsid w:val="005A7C57"/>
    <w:rsid w:val="005B129C"/>
    <w:rsid w:val="005B1686"/>
    <w:rsid w:val="005B194D"/>
    <w:rsid w:val="005B1EE3"/>
    <w:rsid w:val="005B1EE4"/>
    <w:rsid w:val="005B27E0"/>
    <w:rsid w:val="005B2E5A"/>
    <w:rsid w:val="005B2E85"/>
    <w:rsid w:val="005B350A"/>
    <w:rsid w:val="005B3613"/>
    <w:rsid w:val="005B470A"/>
    <w:rsid w:val="005B47D2"/>
    <w:rsid w:val="005B4F43"/>
    <w:rsid w:val="005B541B"/>
    <w:rsid w:val="005B67F3"/>
    <w:rsid w:val="005B7149"/>
    <w:rsid w:val="005B7D6F"/>
    <w:rsid w:val="005B7F0D"/>
    <w:rsid w:val="005B7F25"/>
    <w:rsid w:val="005C0011"/>
    <w:rsid w:val="005C005E"/>
    <w:rsid w:val="005C0A15"/>
    <w:rsid w:val="005C0CB3"/>
    <w:rsid w:val="005C2346"/>
    <w:rsid w:val="005C24A6"/>
    <w:rsid w:val="005C262A"/>
    <w:rsid w:val="005C2F3F"/>
    <w:rsid w:val="005C3064"/>
    <w:rsid w:val="005C3B90"/>
    <w:rsid w:val="005C3BC8"/>
    <w:rsid w:val="005C4C1F"/>
    <w:rsid w:val="005C4C25"/>
    <w:rsid w:val="005C5F6C"/>
    <w:rsid w:val="005C6648"/>
    <w:rsid w:val="005C6E5C"/>
    <w:rsid w:val="005C6F18"/>
    <w:rsid w:val="005C7A1D"/>
    <w:rsid w:val="005D024C"/>
    <w:rsid w:val="005D09C6"/>
    <w:rsid w:val="005D0FDB"/>
    <w:rsid w:val="005D1506"/>
    <w:rsid w:val="005D1CE1"/>
    <w:rsid w:val="005D222A"/>
    <w:rsid w:val="005D2D7A"/>
    <w:rsid w:val="005D33E7"/>
    <w:rsid w:val="005D3C5E"/>
    <w:rsid w:val="005D40CB"/>
    <w:rsid w:val="005D4161"/>
    <w:rsid w:val="005D565B"/>
    <w:rsid w:val="005D5D13"/>
    <w:rsid w:val="005D6151"/>
    <w:rsid w:val="005D7042"/>
    <w:rsid w:val="005D75FA"/>
    <w:rsid w:val="005D7AC9"/>
    <w:rsid w:val="005E04B5"/>
    <w:rsid w:val="005E10FB"/>
    <w:rsid w:val="005E11F3"/>
    <w:rsid w:val="005E1209"/>
    <w:rsid w:val="005E29A9"/>
    <w:rsid w:val="005E3666"/>
    <w:rsid w:val="005E3C06"/>
    <w:rsid w:val="005E4B40"/>
    <w:rsid w:val="005E4C3B"/>
    <w:rsid w:val="005E52E5"/>
    <w:rsid w:val="005E52E9"/>
    <w:rsid w:val="005E61BD"/>
    <w:rsid w:val="005E6559"/>
    <w:rsid w:val="005E6F56"/>
    <w:rsid w:val="005E7104"/>
    <w:rsid w:val="005E775A"/>
    <w:rsid w:val="005F16EE"/>
    <w:rsid w:val="005F26A6"/>
    <w:rsid w:val="005F2955"/>
    <w:rsid w:val="005F35D8"/>
    <w:rsid w:val="005F3971"/>
    <w:rsid w:val="005F41E2"/>
    <w:rsid w:val="005F4357"/>
    <w:rsid w:val="005F47F7"/>
    <w:rsid w:val="005F7804"/>
    <w:rsid w:val="005F785B"/>
    <w:rsid w:val="005F79AD"/>
    <w:rsid w:val="00601591"/>
    <w:rsid w:val="00601638"/>
    <w:rsid w:val="006018D9"/>
    <w:rsid w:val="006018F3"/>
    <w:rsid w:val="00601E7A"/>
    <w:rsid w:val="00602B1F"/>
    <w:rsid w:val="006032C6"/>
    <w:rsid w:val="00605580"/>
    <w:rsid w:val="00605964"/>
    <w:rsid w:val="00605B14"/>
    <w:rsid w:val="00605CCD"/>
    <w:rsid w:val="00605F33"/>
    <w:rsid w:val="006061EB"/>
    <w:rsid w:val="00606413"/>
    <w:rsid w:val="00606DBB"/>
    <w:rsid w:val="00607E50"/>
    <w:rsid w:val="006112D3"/>
    <w:rsid w:val="0061218D"/>
    <w:rsid w:val="0061247D"/>
    <w:rsid w:val="006129EA"/>
    <w:rsid w:val="00613392"/>
    <w:rsid w:val="0061352A"/>
    <w:rsid w:val="00613551"/>
    <w:rsid w:val="006139F0"/>
    <w:rsid w:val="00614054"/>
    <w:rsid w:val="00614A75"/>
    <w:rsid w:val="00615D68"/>
    <w:rsid w:val="006166BC"/>
    <w:rsid w:val="00620290"/>
    <w:rsid w:val="00620A19"/>
    <w:rsid w:val="00621F2F"/>
    <w:rsid w:val="006232A3"/>
    <w:rsid w:val="00624F63"/>
    <w:rsid w:val="00625088"/>
    <w:rsid w:val="00625117"/>
    <w:rsid w:val="006254BE"/>
    <w:rsid w:val="00625782"/>
    <w:rsid w:val="0062589A"/>
    <w:rsid w:val="00625988"/>
    <w:rsid w:val="00625994"/>
    <w:rsid w:val="00625AE6"/>
    <w:rsid w:val="006268D0"/>
    <w:rsid w:val="00627813"/>
    <w:rsid w:val="00627E84"/>
    <w:rsid w:val="00630480"/>
    <w:rsid w:val="00630D0F"/>
    <w:rsid w:val="006317A7"/>
    <w:rsid w:val="00632AF8"/>
    <w:rsid w:val="00633022"/>
    <w:rsid w:val="006337A7"/>
    <w:rsid w:val="006350CB"/>
    <w:rsid w:val="00635C87"/>
    <w:rsid w:val="00636791"/>
    <w:rsid w:val="006374FE"/>
    <w:rsid w:val="0063769D"/>
    <w:rsid w:val="006378B5"/>
    <w:rsid w:val="00637ECD"/>
    <w:rsid w:val="00640E1C"/>
    <w:rsid w:val="00641089"/>
    <w:rsid w:val="00641D30"/>
    <w:rsid w:val="00642593"/>
    <w:rsid w:val="00642F0C"/>
    <w:rsid w:val="00643D20"/>
    <w:rsid w:val="00643F4B"/>
    <w:rsid w:val="00643FD9"/>
    <w:rsid w:val="006442B6"/>
    <w:rsid w:val="006448B1"/>
    <w:rsid w:val="00644E4D"/>
    <w:rsid w:val="006454BB"/>
    <w:rsid w:val="00645A0B"/>
    <w:rsid w:val="0064735F"/>
    <w:rsid w:val="00647DC0"/>
    <w:rsid w:val="006500BB"/>
    <w:rsid w:val="00651AAE"/>
    <w:rsid w:val="00651C42"/>
    <w:rsid w:val="00651FAA"/>
    <w:rsid w:val="00652073"/>
    <w:rsid w:val="00652AD3"/>
    <w:rsid w:val="00654055"/>
    <w:rsid w:val="0065549F"/>
    <w:rsid w:val="0065552A"/>
    <w:rsid w:val="00655E9C"/>
    <w:rsid w:val="006573A8"/>
    <w:rsid w:val="00657939"/>
    <w:rsid w:val="00657A8B"/>
    <w:rsid w:val="00657ED1"/>
    <w:rsid w:val="00660FCD"/>
    <w:rsid w:val="00662B84"/>
    <w:rsid w:val="00663261"/>
    <w:rsid w:val="00663AF3"/>
    <w:rsid w:val="00664B71"/>
    <w:rsid w:val="00664C7C"/>
    <w:rsid w:val="006650AB"/>
    <w:rsid w:val="0066596A"/>
    <w:rsid w:val="006659D0"/>
    <w:rsid w:val="00665BEA"/>
    <w:rsid w:val="00665F7E"/>
    <w:rsid w:val="00666094"/>
    <w:rsid w:val="00667126"/>
    <w:rsid w:val="00667ECA"/>
    <w:rsid w:val="0067030F"/>
    <w:rsid w:val="006703A1"/>
    <w:rsid w:val="00670434"/>
    <w:rsid w:val="00670965"/>
    <w:rsid w:val="00670BCD"/>
    <w:rsid w:val="0067123C"/>
    <w:rsid w:val="00671E12"/>
    <w:rsid w:val="00672255"/>
    <w:rsid w:val="00673197"/>
    <w:rsid w:val="006735AE"/>
    <w:rsid w:val="00674110"/>
    <w:rsid w:val="0067421C"/>
    <w:rsid w:val="00674484"/>
    <w:rsid w:val="00674919"/>
    <w:rsid w:val="006751A7"/>
    <w:rsid w:val="006756E1"/>
    <w:rsid w:val="006759AB"/>
    <w:rsid w:val="00676440"/>
    <w:rsid w:val="00676AE0"/>
    <w:rsid w:val="00677003"/>
    <w:rsid w:val="00682089"/>
    <w:rsid w:val="006820EC"/>
    <w:rsid w:val="0068278F"/>
    <w:rsid w:val="006832E0"/>
    <w:rsid w:val="00685796"/>
    <w:rsid w:val="0068713F"/>
    <w:rsid w:val="00690BB2"/>
    <w:rsid w:val="0069143F"/>
    <w:rsid w:val="006916C4"/>
    <w:rsid w:val="00691761"/>
    <w:rsid w:val="006925D0"/>
    <w:rsid w:val="00692F17"/>
    <w:rsid w:val="00693315"/>
    <w:rsid w:val="00693C1F"/>
    <w:rsid w:val="0069416B"/>
    <w:rsid w:val="00695731"/>
    <w:rsid w:val="00695939"/>
    <w:rsid w:val="00696335"/>
    <w:rsid w:val="0069645C"/>
    <w:rsid w:val="0069693B"/>
    <w:rsid w:val="00696F88"/>
    <w:rsid w:val="00697043"/>
    <w:rsid w:val="006A02AD"/>
    <w:rsid w:val="006A063C"/>
    <w:rsid w:val="006A200C"/>
    <w:rsid w:val="006A27C8"/>
    <w:rsid w:val="006A2FA3"/>
    <w:rsid w:val="006A3C83"/>
    <w:rsid w:val="006A41A8"/>
    <w:rsid w:val="006A433E"/>
    <w:rsid w:val="006A474C"/>
    <w:rsid w:val="006A4753"/>
    <w:rsid w:val="006A5886"/>
    <w:rsid w:val="006A6199"/>
    <w:rsid w:val="006A6611"/>
    <w:rsid w:val="006A767A"/>
    <w:rsid w:val="006B0047"/>
    <w:rsid w:val="006B012D"/>
    <w:rsid w:val="006B0683"/>
    <w:rsid w:val="006B0D53"/>
    <w:rsid w:val="006B0FD5"/>
    <w:rsid w:val="006B1019"/>
    <w:rsid w:val="006B1143"/>
    <w:rsid w:val="006B11DF"/>
    <w:rsid w:val="006B1A71"/>
    <w:rsid w:val="006B1C6C"/>
    <w:rsid w:val="006B2A94"/>
    <w:rsid w:val="006B37C4"/>
    <w:rsid w:val="006B3C2B"/>
    <w:rsid w:val="006B4D26"/>
    <w:rsid w:val="006B566D"/>
    <w:rsid w:val="006B5DE2"/>
    <w:rsid w:val="006B6C6A"/>
    <w:rsid w:val="006B6EB8"/>
    <w:rsid w:val="006B740E"/>
    <w:rsid w:val="006C19A1"/>
    <w:rsid w:val="006C2306"/>
    <w:rsid w:val="006C2358"/>
    <w:rsid w:val="006C36B7"/>
    <w:rsid w:val="006C3DE6"/>
    <w:rsid w:val="006C49B3"/>
    <w:rsid w:val="006C5971"/>
    <w:rsid w:val="006C5E7E"/>
    <w:rsid w:val="006C6529"/>
    <w:rsid w:val="006C6B52"/>
    <w:rsid w:val="006C7DAD"/>
    <w:rsid w:val="006D03FE"/>
    <w:rsid w:val="006D073A"/>
    <w:rsid w:val="006D0EB6"/>
    <w:rsid w:val="006D1B1B"/>
    <w:rsid w:val="006D251D"/>
    <w:rsid w:val="006D2FC7"/>
    <w:rsid w:val="006D31C6"/>
    <w:rsid w:val="006D3285"/>
    <w:rsid w:val="006D465B"/>
    <w:rsid w:val="006D6392"/>
    <w:rsid w:val="006D7430"/>
    <w:rsid w:val="006D7FE7"/>
    <w:rsid w:val="006E11B3"/>
    <w:rsid w:val="006E17B9"/>
    <w:rsid w:val="006E1B89"/>
    <w:rsid w:val="006E231C"/>
    <w:rsid w:val="006E2C19"/>
    <w:rsid w:val="006E38F2"/>
    <w:rsid w:val="006E3FFC"/>
    <w:rsid w:val="006E4287"/>
    <w:rsid w:val="006E4950"/>
    <w:rsid w:val="006E4BD6"/>
    <w:rsid w:val="006E5044"/>
    <w:rsid w:val="006E52DE"/>
    <w:rsid w:val="006E6F73"/>
    <w:rsid w:val="006E7834"/>
    <w:rsid w:val="006E7B5B"/>
    <w:rsid w:val="006E7BD1"/>
    <w:rsid w:val="006F1A0F"/>
    <w:rsid w:val="006F2844"/>
    <w:rsid w:val="006F29CF"/>
    <w:rsid w:val="006F3D5E"/>
    <w:rsid w:val="006F4223"/>
    <w:rsid w:val="006F78B6"/>
    <w:rsid w:val="00700567"/>
    <w:rsid w:val="00700B68"/>
    <w:rsid w:val="00700D5B"/>
    <w:rsid w:val="00701225"/>
    <w:rsid w:val="007012FF"/>
    <w:rsid w:val="0070133D"/>
    <w:rsid w:val="007027EC"/>
    <w:rsid w:val="00702A0A"/>
    <w:rsid w:val="00702B47"/>
    <w:rsid w:val="00702C33"/>
    <w:rsid w:val="00702C3E"/>
    <w:rsid w:val="00703303"/>
    <w:rsid w:val="007052B1"/>
    <w:rsid w:val="00705895"/>
    <w:rsid w:val="00706095"/>
    <w:rsid w:val="00706AFB"/>
    <w:rsid w:val="00706C7E"/>
    <w:rsid w:val="0070703C"/>
    <w:rsid w:val="00707427"/>
    <w:rsid w:val="00707D80"/>
    <w:rsid w:val="00707F06"/>
    <w:rsid w:val="00710CA9"/>
    <w:rsid w:val="0071144E"/>
    <w:rsid w:val="00711D38"/>
    <w:rsid w:val="0071220E"/>
    <w:rsid w:val="00712F8B"/>
    <w:rsid w:val="00713112"/>
    <w:rsid w:val="007132C5"/>
    <w:rsid w:val="00713370"/>
    <w:rsid w:val="00713CEB"/>
    <w:rsid w:val="0071408F"/>
    <w:rsid w:val="00714270"/>
    <w:rsid w:val="007143EC"/>
    <w:rsid w:val="00714CE6"/>
    <w:rsid w:val="0071504D"/>
    <w:rsid w:val="007159FD"/>
    <w:rsid w:val="00716776"/>
    <w:rsid w:val="00716AB5"/>
    <w:rsid w:val="00716CBE"/>
    <w:rsid w:val="00717642"/>
    <w:rsid w:val="00721132"/>
    <w:rsid w:val="00722056"/>
    <w:rsid w:val="00722112"/>
    <w:rsid w:val="00722603"/>
    <w:rsid w:val="0072297D"/>
    <w:rsid w:val="0072341C"/>
    <w:rsid w:val="0072363E"/>
    <w:rsid w:val="00723DAC"/>
    <w:rsid w:val="00723FE7"/>
    <w:rsid w:val="00724C95"/>
    <w:rsid w:val="007269E7"/>
    <w:rsid w:val="00726E49"/>
    <w:rsid w:val="00727761"/>
    <w:rsid w:val="00727FF7"/>
    <w:rsid w:val="00730CF4"/>
    <w:rsid w:val="00731D50"/>
    <w:rsid w:val="00731D8C"/>
    <w:rsid w:val="00732A7F"/>
    <w:rsid w:val="007335D8"/>
    <w:rsid w:val="007338B6"/>
    <w:rsid w:val="00734704"/>
    <w:rsid w:val="00735933"/>
    <w:rsid w:val="00735BED"/>
    <w:rsid w:val="00735F75"/>
    <w:rsid w:val="0073636B"/>
    <w:rsid w:val="0073678E"/>
    <w:rsid w:val="0074034C"/>
    <w:rsid w:val="00740C90"/>
    <w:rsid w:val="00740E86"/>
    <w:rsid w:val="0074129E"/>
    <w:rsid w:val="00742028"/>
    <w:rsid w:val="00743C41"/>
    <w:rsid w:val="00743CBD"/>
    <w:rsid w:val="00744425"/>
    <w:rsid w:val="00744C5E"/>
    <w:rsid w:val="00745034"/>
    <w:rsid w:val="007454C0"/>
    <w:rsid w:val="00745848"/>
    <w:rsid w:val="007460FD"/>
    <w:rsid w:val="00746E19"/>
    <w:rsid w:val="00747DC1"/>
    <w:rsid w:val="00747FF5"/>
    <w:rsid w:val="00750499"/>
    <w:rsid w:val="00750868"/>
    <w:rsid w:val="00750BA7"/>
    <w:rsid w:val="00750BC7"/>
    <w:rsid w:val="0075126B"/>
    <w:rsid w:val="00751AED"/>
    <w:rsid w:val="00751D2A"/>
    <w:rsid w:val="00751E4A"/>
    <w:rsid w:val="0075204D"/>
    <w:rsid w:val="00752265"/>
    <w:rsid w:val="0075320C"/>
    <w:rsid w:val="00753466"/>
    <w:rsid w:val="0075360F"/>
    <w:rsid w:val="00753DCE"/>
    <w:rsid w:val="00753F28"/>
    <w:rsid w:val="00754199"/>
    <w:rsid w:val="007545D3"/>
    <w:rsid w:val="007558DB"/>
    <w:rsid w:val="00755A45"/>
    <w:rsid w:val="00755AE4"/>
    <w:rsid w:val="00756916"/>
    <w:rsid w:val="00757F2E"/>
    <w:rsid w:val="00761A40"/>
    <w:rsid w:val="00761B42"/>
    <w:rsid w:val="00761B69"/>
    <w:rsid w:val="00761FBC"/>
    <w:rsid w:val="00761FC7"/>
    <w:rsid w:val="00765494"/>
    <w:rsid w:val="007655B3"/>
    <w:rsid w:val="00765803"/>
    <w:rsid w:val="00765A3C"/>
    <w:rsid w:val="00765B5E"/>
    <w:rsid w:val="00765BFB"/>
    <w:rsid w:val="007677F1"/>
    <w:rsid w:val="0077030E"/>
    <w:rsid w:val="00770374"/>
    <w:rsid w:val="0077042B"/>
    <w:rsid w:val="00770726"/>
    <w:rsid w:val="007708F4"/>
    <w:rsid w:val="00770CA8"/>
    <w:rsid w:val="007712AC"/>
    <w:rsid w:val="0077136A"/>
    <w:rsid w:val="0077153F"/>
    <w:rsid w:val="00771B3F"/>
    <w:rsid w:val="00771F57"/>
    <w:rsid w:val="00773FD5"/>
    <w:rsid w:val="00774C81"/>
    <w:rsid w:val="00775F13"/>
    <w:rsid w:val="0077600D"/>
    <w:rsid w:val="00776EE9"/>
    <w:rsid w:val="00777655"/>
    <w:rsid w:val="00780699"/>
    <w:rsid w:val="00780D60"/>
    <w:rsid w:val="007818F5"/>
    <w:rsid w:val="00781A60"/>
    <w:rsid w:val="007831BA"/>
    <w:rsid w:val="0078424F"/>
    <w:rsid w:val="00784BF9"/>
    <w:rsid w:val="0078561D"/>
    <w:rsid w:val="007857B1"/>
    <w:rsid w:val="00786104"/>
    <w:rsid w:val="00787129"/>
    <w:rsid w:val="00787B77"/>
    <w:rsid w:val="00787C4C"/>
    <w:rsid w:val="00791058"/>
    <w:rsid w:val="007915DD"/>
    <w:rsid w:val="00791737"/>
    <w:rsid w:val="00791BFE"/>
    <w:rsid w:val="00792226"/>
    <w:rsid w:val="00793366"/>
    <w:rsid w:val="00793F30"/>
    <w:rsid w:val="0079415D"/>
    <w:rsid w:val="00794EC6"/>
    <w:rsid w:val="00794F41"/>
    <w:rsid w:val="00795194"/>
    <w:rsid w:val="00796178"/>
    <w:rsid w:val="00797192"/>
    <w:rsid w:val="007971A5"/>
    <w:rsid w:val="007A04B9"/>
    <w:rsid w:val="007A11B5"/>
    <w:rsid w:val="007A14F7"/>
    <w:rsid w:val="007A1634"/>
    <w:rsid w:val="007A2376"/>
    <w:rsid w:val="007A327D"/>
    <w:rsid w:val="007A34D1"/>
    <w:rsid w:val="007A3A07"/>
    <w:rsid w:val="007A426C"/>
    <w:rsid w:val="007A4355"/>
    <w:rsid w:val="007A4541"/>
    <w:rsid w:val="007A52D3"/>
    <w:rsid w:val="007A574B"/>
    <w:rsid w:val="007A6762"/>
    <w:rsid w:val="007A6CB6"/>
    <w:rsid w:val="007A732E"/>
    <w:rsid w:val="007A7696"/>
    <w:rsid w:val="007A7D21"/>
    <w:rsid w:val="007A7F8A"/>
    <w:rsid w:val="007B096D"/>
    <w:rsid w:val="007B0F30"/>
    <w:rsid w:val="007B11C0"/>
    <w:rsid w:val="007B15E7"/>
    <w:rsid w:val="007B27EA"/>
    <w:rsid w:val="007B2A56"/>
    <w:rsid w:val="007B3040"/>
    <w:rsid w:val="007B4A9D"/>
    <w:rsid w:val="007B5446"/>
    <w:rsid w:val="007B5A48"/>
    <w:rsid w:val="007B6235"/>
    <w:rsid w:val="007B6439"/>
    <w:rsid w:val="007B6BDB"/>
    <w:rsid w:val="007B722E"/>
    <w:rsid w:val="007C06D6"/>
    <w:rsid w:val="007C0EE2"/>
    <w:rsid w:val="007C0FAD"/>
    <w:rsid w:val="007C1008"/>
    <w:rsid w:val="007C1A6B"/>
    <w:rsid w:val="007C1EC0"/>
    <w:rsid w:val="007C2670"/>
    <w:rsid w:val="007C29EF"/>
    <w:rsid w:val="007C372C"/>
    <w:rsid w:val="007C4BA5"/>
    <w:rsid w:val="007C4E72"/>
    <w:rsid w:val="007C4EED"/>
    <w:rsid w:val="007C709F"/>
    <w:rsid w:val="007C77DF"/>
    <w:rsid w:val="007D031A"/>
    <w:rsid w:val="007D04E5"/>
    <w:rsid w:val="007D0E31"/>
    <w:rsid w:val="007D23A4"/>
    <w:rsid w:val="007D246E"/>
    <w:rsid w:val="007D3143"/>
    <w:rsid w:val="007D37E0"/>
    <w:rsid w:val="007D42F2"/>
    <w:rsid w:val="007D4680"/>
    <w:rsid w:val="007D51F1"/>
    <w:rsid w:val="007D625E"/>
    <w:rsid w:val="007D69C7"/>
    <w:rsid w:val="007D6C86"/>
    <w:rsid w:val="007D6E32"/>
    <w:rsid w:val="007D6ED1"/>
    <w:rsid w:val="007D6FDE"/>
    <w:rsid w:val="007D71D8"/>
    <w:rsid w:val="007E0B25"/>
    <w:rsid w:val="007E0FCD"/>
    <w:rsid w:val="007E117B"/>
    <w:rsid w:val="007E12FD"/>
    <w:rsid w:val="007E1350"/>
    <w:rsid w:val="007E21E9"/>
    <w:rsid w:val="007E3138"/>
    <w:rsid w:val="007E31FF"/>
    <w:rsid w:val="007E46DD"/>
    <w:rsid w:val="007E54BA"/>
    <w:rsid w:val="007E56F4"/>
    <w:rsid w:val="007E61AE"/>
    <w:rsid w:val="007E6FF3"/>
    <w:rsid w:val="007E7956"/>
    <w:rsid w:val="007F0994"/>
    <w:rsid w:val="007F1CC9"/>
    <w:rsid w:val="007F225B"/>
    <w:rsid w:val="007F26DC"/>
    <w:rsid w:val="007F3E3D"/>
    <w:rsid w:val="007F4152"/>
    <w:rsid w:val="007F434A"/>
    <w:rsid w:val="007F4E63"/>
    <w:rsid w:val="007F4EE8"/>
    <w:rsid w:val="007F571F"/>
    <w:rsid w:val="007F578E"/>
    <w:rsid w:val="007F6569"/>
    <w:rsid w:val="007F659C"/>
    <w:rsid w:val="007F6969"/>
    <w:rsid w:val="007F6B69"/>
    <w:rsid w:val="007F783C"/>
    <w:rsid w:val="007F7878"/>
    <w:rsid w:val="00800222"/>
    <w:rsid w:val="0080199F"/>
    <w:rsid w:val="00802C93"/>
    <w:rsid w:val="00806A88"/>
    <w:rsid w:val="00807036"/>
    <w:rsid w:val="00807B33"/>
    <w:rsid w:val="00807CFB"/>
    <w:rsid w:val="008109D2"/>
    <w:rsid w:val="0081141D"/>
    <w:rsid w:val="00811497"/>
    <w:rsid w:val="008119B0"/>
    <w:rsid w:val="008122BF"/>
    <w:rsid w:val="00812B6D"/>
    <w:rsid w:val="00812DBB"/>
    <w:rsid w:val="00812E5B"/>
    <w:rsid w:val="00813058"/>
    <w:rsid w:val="008136E7"/>
    <w:rsid w:val="008168EE"/>
    <w:rsid w:val="00817446"/>
    <w:rsid w:val="0081781A"/>
    <w:rsid w:val="00817F80"/>
    <w:rsid w:val="0082028D"/>
    <w:rsid w:val="00820BC4"/>
    <w:rsid w:val="00821035"/>
    <w:rsid w:val="008215E2"/>
    <w:rsid w:val="00821C71"/>
    <w:rsid w:val="00822DB1"/>
    <w:rsid w:val="008233D4"/>
    <w:rsid w:val="008238FF"/>
    <w:rsid w:val="0082399F"/>
    <w:rsid w:val="008239C2"/>
    <w:rsid w:val="008248EB"/>
    <w:rsid w:val="00824C20"/>
    <w:rsid w:val="00825300"/>
    <w:rsid w:val="00825CB5"/>
    <w:rsid w:val="008305CC"/>
    <w:rsid w:val="0083088C"/>
    <w:rsid w:val="00830CAC"/>
    <w:rsid w:val="008329B0"/>
    <w:rsid w:val="0083382A"/>
    <w:rsid w:val="00833C87"/>
    <w:rsid w:val="0083435C"/>
    <w:rsid w:val="00834D2D"/>
    <w:rsid w:val="00835546"/>
    <w:rsid w:val="008358DA"/>
    <w:rsid w:val="00835A17"/>
    <w:rsid w:val="00835AD6"/>
    <w:rsid w:val="0083615A"/>
    <w:rsid w:val="0083625E"/>
    <w:rsid w:val="0083655A"/>
    <w:rsid w:val="008371C9"/>
    <w:rsid w:val="0083729E"/>
    <w:rsid w:val="008376C9"/>
    <w:rsid w:val="008408DE"/>
    <w:rsid w:val="00841182"/>
    <w:rsid w:val="0084257D"/>
    <w:rsid w:val="0084263F"/>
    <w:rsid w:val="008427A0"/>
    <w:rsid w:val="00842B32"/>
    <w:rsid w:val="00842EE9"/>
    <w:rsid w:val="00843039"/>
    <w:rsid w:val="00844229"/>
    <w:rsid w:val="00844620"/>
    <w:rsid w:val="00844638"/>
    <w:rsid w:val="00844768"/>
    <w:rsid w:val="00844B89"/>
    <w:rsid w:val="0084662E"/>
    <w:rsid w:val="00850262"/>
    <w:rsid w:val="00851B67"/>
    <w:rsid w:val="00852451"/>
    <w:rsid w:val="008528EF"/>
    <w:rsid w:val="00852C35"/>
    <w:rsid w:val="00852E82"/>
    <w:rsid w:val="0085329C"/>
    <w:rsid w:val="0085353C"/>
    <w:rsid w:val="00853C2D"/>
    <w:rsid w:val="00853F7C"/>
    <w:rsid w:val="008542CC"/>
    <w:rsid w:val="00855C8D"/>
    <w:rsid w:val="00855F8F"/>
    <w:rsid w:val="00856CD6"/>
    <w:rsid w:val="00856FFF"/>
    <w:rsid w:val="00860260"/>
    <w:rsid w:val="00860B32"/>
    <w:rsid w:val="00860F0D"/>
    <w:rsid w:val="00860F0F"/>
    <w:rsid w:val="00860F8C"/>
    <w:rsid w:val="00861B48"/>
    <w:rsid w:val="00861B8F"/>
    <w:rsid w:val="00861D78"/>
    <w:rsid w:val="00862029"/>
    <w:rsid w:val="008625A7"/>
    <w:rsid w:val="00862A59"/>
    <w:rsid w:val="0086305E"/>
    <w:rsid w:val="008636F3"/>
    <w:rsid w:val="00863CE0"/>
    <w:rsid w:val="008643D2"/>
    <w:rsid w:val="00864935"/>
    <w:rsid w:val="00864D23"/>
    <w:rsid w:val="00866446"/>
    <w:rsid w:val="00867453"/>
    <w:rsid w:val="0087068B"/>
    <w:rsid w:val="0087094D"/>
    <w:rsid w:val="00870CDE"/>
    <w:rsid w:val="008711EA"/>
    <w:rsid w:val="00871327"/>
    <w:rsid w:val="0087218D"/>
    <w:rsid w:val="008722F1"/>
    <w:rsid w:val="00872382"/>
    <w:rsid w:val="0087240F"/>
    <w:rsid w:val="00872E7E"/>
    <w:rsid w:val="00873CBF"/>
    <w:rsid w:val="00874C3B"/>
    <w:rsid w:val="008760EA"/>
    <w:rsid w:val="00876495"/>
    <w:rsid w:val="00876DB9"/>
    <w:rsid w:val="00877C93"/>
    <w:rsid w:val="00877E85"/>
    <w:rsid w:val="008800BC"/>
    <w:rsid w:val="0088144F"/>
    <w:rsid w:val="00882F74"/>
    <w:rsid w:val="00882FB8"/>
    <w:rsid w:val="00882FE1"/>
    <w:rsid w:val="00883F0B"/>
    <w:rsid w:val="00884997"/>
    <w:rsid w:val="00884E37"/>
    <w:rsid w:val="00884FE6"/>
    <w:rsid w:val="0088572C"/>
    <w:rsid w:val="00886190"/>
    <w:rsid w:val="0088736C"/>
    <w:rsid w:val="00887B0A"/>
    <w:rsid w:val="008903FD"/>
    <w:rsid w:val="0089064D"/>
    <w:rsid w:val="008906D7"/>
    <w:rsid w:val="00890C73"/>
    <w:rsid w:val="00891DE3"/>
    <w:rsid w:val="00892DEC"/>
    <w:rsid w:val="00892E1D"/>
    <w:rsid w:val="00892F0D"/>
    <w:rsid w:val="008936F9"/>
    <w:rsid w:val="008937DB"/>
    <w:rsid w:val="0089461C"/>
    <w:rsid w:val="00894757"/>
    <w:rsid w:val="0089482D"/>
    <w:rsid w:val="00894C1B"/>
    <w:rsid w:val="00894CA9"/>
    <w:rsid w:val="00894D3F"/>
    <w:rsid w:val="00895745"/>
    <w:rsid w:val="00895BD4"/>
    <w:rsid w:val="00895C85"/>
    <w:rsid w:val="00896456"/>
    <w:rsid w:val="0089647E"/>
    <w:rsid w:val="00897A25"/>
    <w:rsid w:val="00897B79"/>
    <w:rsid w:val="008A00C1"/>
    <w:rsid w:val="008A0165"/>
    <w:rsid w:val="008A036A"/>
    <w:rsid w:val="008A086E"/>
    <w:rsid w:val="008A0DDD"/>
    <w:rsid w:val="008A11AC"/>
    <w:rsid w:val="008A15A4"/>
    <w:rsid w:val="008A1E85"/>
    <w:rsid w:val="008A1EFA"/>
    <w:rsid w:val="008A20AB"/>
    <w:rsid w:val="008A2F31"/>
    <w:rsid w:val="008A2FA3"/>
    <w:rsid w:val="008A3553"/>
    <w:rsid w:val="008A4420"/>
    <w:rsid w:val="008A48FF"/>
    <w:rsid w:val="008A574D"/>
    <w:rsid w:val="008A65B5"/>
    <w:rsid w:val="008A66F4"/>
    <w:rsid w:val="008A70CD"/>
    <w:rsid w:val="008A762F"/>
    <w:rsid w:val="008A7DAE"/>
    <w:rsid w:val="008B0871"/>
    <w:rsid w:val="008B13B4"/>
    <w:rsid w:val="008B1AEF"/>
    <w:rsid w:val="008B29FD"/>
    <w:rsid w:val="008B2C0E"/>
    <w:rsid w:val="008B3519"/>
    <w:rsid w:val="008B48F5"/>
    <w:rsid w:val="008B526F"/>
    <w:rsid w:val="008B5D15"/>
    <w:rsid w:val="008B60AD"/>
    <w:rsid w:val="008B79AB"/>
    <w:rsid w:val="008B7B8D"/>
    <w:rsid w:val="008C0765"/>
    <w:rsid w:val="008C146A"/>
    <w:rsid w:val="008C2870"/>
    <w:rsid w:val="008C2A3D"/>
    <w:rsid w:val="008C2A7E"/>
    <w:rsid w:val="008C412D"/>
    <w:rsid w:val="008C48A3"/>
    <w:rsid w:val="008C4BCD"/>
    <w:rsid w:val="008C5606"/>
    <w:rsid w:val="008C5611"/>
    <w:rsid w:val="008C57AF"/>
    <w:rsid w:val="008C604A"/>
    <w:rsid w:val="008C61BA"/>
    <w:rsid w:val="008C6356"/>
    <w:rsid w:val="008C71CF"/>
    <w:rsid w:val="008D0384"/>
    <w:rsid w:val="008D05DE"/>
    <w:rsid w:val="008D0BB5"/>
    <w:rsid w:val="008D102B"/>
    <w:rsid w:val="008D17B1"/>
    <w:rsid w:val="008D210A"/>
    <w:rsid w:val="008D38AD"/>
    <w:rsid w:val="008D3B4E"/>
    <w:rsid w:val="008D3EED"/>
    <w:rsid w:val="008D4602"/>
    <w:rsid w:val="008D4615"/>
    <w:rsid w:val="008D47BF"/>
    <w:rsid w:val="008D63BA"/>
    <w:rsid w:val="008D6A9E"/>
    <w:rsid w:val="008D74E8"/>
    <w:rsid w:val="008D79FA"/>
    <w:rsid w:val="008D7ABF"/>
    <w:rsid w:val="008D7D2D"/>
    <w:rsid w:val="008E065A"/>
    <w:rsid w:val="008E11CF"/>
    <w:rsid w:val="008E27C0"/>
    <w:rsid w:val="008E40D9"/>
    <w:rsid w:val="008E4799"/>
    <w:rsid w:val="008E5BC3"/>
    <w:rsid w:val="008E6B91"/>
    <w:rsid w:val="008E7387"/>
    <w:rsid w:val="008F0D0B"/>
    <w:rsid w:val="008F1664"/>
    <w:rsid w:val="008F2005"/>
    <w:rsid w:val="008F24A0"/>
    <w:rsid w:val="008F33CA"/>
    <w:rsid w:val="008F3514"/>
    <w:rsid w:val="008F3F4C"/>
    <w:rsid w:val="008F44AF"/>
    <w:rsid w:val="008F4667"/>
    <w:rsid w:val="008F47AC"/>
    <w:rsid w:val="008F497F"/>
    <w:rsid w:val="008F56CE"/>
    <w:rsid w:val="008F59F8"/>
    <w:rsid w:val="008F5A28"/>
    <w:rsid w:val="008F5CE1"/>
    <w:rsid w:val="008F716C"/>
    <w:rsid w:val="00900093"/>
    <w:rsid w:val="009002F9"/>
    <w:rsid w:val="00900484"/>
    <w:rsid w:val="00900F3B"/>
    <w:rsid w:val="00901264"/>
    <w:rsid w:val="009019B8"/>
    <w:rsid w:val="009023CB"/>
    <w:rsid w:val="00902546"/>
    <w:rsid w:val="00902665"/>
    <w:rsid w:val="00902A7F"/>
    <w:rsid w:val="009037CE"/>
    <w:rsid w:val="00903F6C"/>
    <w:rsid w:val="00904172"/>
    <w:rsid w:val="00904B85"/>
    <w:rsid w:val="00905DF8"/>
    <w:rsid w:val="00906BDD"/>
    <w:rsid w:val="009079F6"/>
    <w:rsid w:val="00907B79"/>
    <w:rsid w:val="00907F17"/>
    <w:rsid w:val="009106F7"/>
    <w:rsid w:val="009112A2"/>
    <w:rsid w:val="00911509"/>
    <w:rsid w:val="0091188B"/>
    <w:rsid w:val="00911927"/>
    <w:rsid w:val="009119F8"/>
    <w:rsid w:val="0091415F"/>
    <w:rsid w:val="00915512"/>
    <w:rsid w:val="00916408"/>
    <w:rsid w:val="00917371"/>
    <w:rsid w:val="009174D1"/>
    <w:rsid w:val="0092014F"/>
    <w:rsid w:val="009203ED"/>
    <w:rsid w:val="00920675"/>
    <w:rsid w:val="0092238E"/>
    <w:rsid w:val="009224E3"/>
    <w:rsid w:val="009227DA"/>
    <w:rsid w:val="0092292E"/>
    <w:rsid w:val="00922C7C"/>
    <w:rsid w:val="00922D37"/>
    <w:rsid w:val="00922E6F"/>
    <w:rsid w:val="0092356B"/>
    <w:rsid w:val="009237BB"/>
    <w:rsid w:val="0092493D"/>
    <w:rsid w:val="009251AB"/>
    <w:rsid w:val="009256BA"/>
    <w:rsid w:val="00925812"/>
    <w:rsid w:val="00925E35"/>
    <w:rsid w:val="0092629E"/>
    <w:rsid w:val="0092679E"/>
    <w:rsid w:val="00926B93"/>
    <w:rsid w:val="00927294"/>
    <w:rsid w:val="0092729C"/>
    <w:rsid w:val="0093014C"/>
    <w:rsid w:val="009301E1"/>
    <w:rsid w:val="00932436"/>
    <w:rsid w:val="00932BE3"/>
    <w:rsid w:val="0093455B"/>
    <w:rsid w:val="0093488F"/>
    <w:rsid w:val="00935543"/>
    <w:rsid w:val="00935651"/>
    <w:rsid w:val="00935A07"/>
    <w:rsid w:val="00936377"/>
    <w:rsid w:val="00936836"/>
    <w:rsid w:val="00936A7D"/>
    <w:rsid w:val="00937386"/>
    <w:rsid w:val="00937510"/>
    <w:rsid w:val="00937600"/>
    <w:rsid w:val="00937ABB"/>
    <w:rsid w:val="0094012C"/>
    <w:rsid w:val="00940878"/>
    <w:rsid w:val="0094134A"/>
    <w:rsid w:val="00941A73"/>
    <w:rsid w:val="00941BC0"/>
    <w:rsid w:val="0094243E"/>
    <w:rsid w:val="0094262D"/>
    <w:rsid w:val="00943447"/>
    <w:rsid w:val="00943BE2"/>
    <w:rsid w:val="00943C2D"/>
    <w:rsid w:val="00943C71"/>
    <w:rsid w:val="0094435A"/>
    <w:rsid w:val="00944458"/>
    <w:rsid w:val="0094453D"/>
    <w:rsid w:val="0094577E"/>
    <w:rsid w:val="00945E1F"/>
    <w:rsid w:val="0094611F"/>
    <w:rsid w:val="0094719E"/>
    <w:rsid w:val="009472DA"/>
    <w:rsid w:val="00950319"/>
    <w:rsid w:val="009524A4"/>
    <w:rsid w:val="00952E97"/>
    <w:rsid w:val="0095308F"/>
    <w:rsid w:val="00954849"/>
    <w:rsid w:val="009549C8"/>
    <w:rsid w:val="009551C0"/>
    <w:rsid w:val="00955782"/>
    <w:rsid w:val="0095727A"/>
    <w:rsid w:val="009578D1"/>
    <w:rsid w:val="009601EE"/>
    <w:rsid w:val="00960703"/>
    <w:rsid w:val="00960B80"/>
    <w:rsid w:val="00960EDB"/>
    <w:rsid w:val="00960FD2"/>
    <w:rsid w:val="00961CBB"/>
    <w:rsid w:val="00962BEF"/>
    <w:rsid w:val="00962C39"/>
    <w:rsid w:val="009635F5"/>
    <w:rsid w:val="00964FA0"/>
    <w:rsid w:val="009655BB"/>
    <w:rsid w:val="00965662"/>
    <w:rsid w:val="0096587B"/>
    <w:rsid w:val="00965972"/>
    <w:rsid w:val="00965B85"/>
    <w:rsid w:val="00966028"/>
    <w:rsid w:val="00966D3B"/>
    <w:rsid w:val="009676CE"/>
    <w:rsid w:val="00967F06"/>
    <w:rsid w:val="00970101"/>
    <w:rsid w:val="0097011E"/>
    <w:rsid w:val="009701AF"/>
    <w:rsid w:val="0097220E"/>
    <w:rsid w:val="00972E6E"/>
    <w:rsid w:val="00973702"/>
    <w:rsid w:val="00973AE9"/>
    <w:rsid w:val="00973DFB"/>
    <w:rsid w:val="00974C72"/>
    <w:rsid w:val="00974D05"/>
    <w:rsid w:val="00975798"/>
    <w:rsid w:val="00975F9F"/>
    <w:rsid w:val="00977220"/>
    <w:rsid w:val="00980196"/>
    <w:rsid w:val="00981A46"/>
    <w:rsid w:val="009826E9"/>
    <w:rsid w:val="00983251"/>
    <w:rsid w:val="0098358E"/>
    <w:rsid w:val="009836CD"/>
    <w:rsid w:val="00983A0F"/>
    <w:rsid w:val="009842A5"/>
    <w:rsid w:val="00985173"/>
    <w:rsid w:val="009855C3"/>
    <w:rsid w:val="00985C8F"/>
    <w:rsid w:val="009876E6"/>
    <w:rsid w:val="00987B44"/>
    <w:rsid w:val="00987D54"/>
    <w:rsid w:val="009900DF"/>
    <w:rsid w:val="00990FBD"/>
    <w:rsid w:val="009918FC"/>
    <w:rsid w:val="009919D7"/>
    <w:rsid w:val="00991FFB"/>
    <w:rsid w:val="00992F6A"/>
    <w:rsid w:val="009931DA"/>
    <w:rsid w:val="00995778"/>
    <w:rsid w:val="00996518"/>
    <w:rsid w:val="00996588"/>
    <w:rsid w:val="0099667F"/>
    <w:rsid w:val="00996A17"/>
    <w:rsid w:val="00996AE8"/>
    <w:rsid w:val="00997015"/>
    <w:rsid w:val="009976A6"/>
    <w:rsid w:val="00997922"/>
    <w:rsid w:val="009A0194"/>
    <w:rsid w:val="009A2103"/>
    <w:rsid w:val="009A2C17"/>
    <w:rsid w:val="009A4285"/>
    <w:rsid w:val="009A4A9A"/>
    <w:rsid w:val="009A4E5A"/>
    <w:rsid w:val="009A52C3"/>
    <w:rsid w:val="009A5FA1"/>
    <w:rsid w:val="009A7667"/>
    <w:rsid w:val="009A77EC"/>
    <w:rsid w:val="009B1C87"/>
    <w:rsid w:val="009B1CCB"/>
    <w:rsid w:val="009B2690"/>
    <w:rsid w:val="009B290A"/>
    <w:rsid w:val="009B2A61"/>
    <w:rsid w:val="009B2AB8"/>
    <w:rsid w:val="009B2E17"/>
    <w:rsid w:val="009B3E43"/>
    <w:rsid w:val="009B5382"/>
    <w:rsid w:val="009B5A79"/>
    <w:rsid w:val="009B5F2C"/>
    <w:rsid w:val="009B65C4"/>
    <w:rsid w:val="009B6647"/>
    <w:rsid w:val="009B6887"/>
    <w:rsid w:val="009B6F8E"/>
    <w:rsid w:val="009B72D1"/>
    <w:rsid w:val="009C0A72"/>
    <w:rsid w:val="009C0AAC"/>
    <w:rsid w:val="009C1091"/>
    <w:rsid w:val="009C1963"/>
    <w:rsid w:val="009C20E1"/>
    <w:rsid w:val="009C2143"/>
    <w:rsid w:val="009C2B8A"/>
    <w:rsid w:val="009C2EDA"/>
    <w:rsid w:val="009C3E5B"/>
    <w:rsid w:val="009C411F"/>
    <w:rsid w:val="009C4492"/>
    <w:rsid w:val="009C4BDB"/>
    <w:rsid w:val="009C5148"/>
    <w:rsid w:val="009C57B7"/>
    <w:rsid w:val="009C66C7"/>
    <w:rsid w:val="009C7203"/>
    <w:rsid w:val="009C78E0"/>
    <w:rsid w:val="009D0044"/>
    <w:rsid w:val="009D02AB"/>
    <w:rsid w:val="009D13DB"/>
    <w:rsid w:val="009D1FB1"/>
    <w:rsid w:val="009D2E96"/>
    <w:rsid w:val="009D2F34"/>
    <w:rsid w:val="009D35BA"/>
    <w:rsid w:val="009D3753"/>
    <w:rsid w:val="009D37F8"/>
    <w:rsid w:val="009D484D"/>
    <w:rsid w:val="009D5CD2"/>
    <w:rsid w:val="009D7140"/>
    <w:rsid w:val="009E0BD5"/>
    <w:rsid w:val="009E0E15"/>
    <w:rsid w:val="009E16F4"/>
    <w:rsid w:val="009E3358"/>
    <w:rsid w:val="009E40B9"/>
    <w:rsid w:val="009E5191"/>
    <w:rsid w:val="009E610E"/>
    <w:rsid w:val="009E6320"/>
    <w:rsid w:val="009E64B7"/>
    <w:rsid w:val="009E6BBF"/>
    <w:rsid w:val="009E7552"/>
    <w:rsid w:val="009E7E2D"/>
    <w:rsid w:val="009E7EB8"/>
    <w:rsid w:val="009F1802"/>
    <w:rsid w:val="009F332E"/>
    <w:rsid w:val="009F38DA"/>
    <w:rsid w:val="009F3C53"/>
    <w:rsid w:val="009F4D9A"/>
    <w:rsid w:val="009F5BFE"/>
    <w:rsid w:val="009F5C76"/>
    <w:rsid w:val="009F6C64"/>
    <w:rsid w:val="009F780F"/>
    <w:rsid w:val="009F7AE5"/>
    <w:rsid w:val="00A0041E"/>
    <w:rsid w:val="00A0048F"/>
    <w:rsid w:val="00A007E2"/>
    <w:rsid w:val="00A00A63"/>
    <w:rsid w:val="00A01129"/>
    <w:rsid w:val="00A017F4"/>
    <w:rsid w:val="00A033DD"/>
    <w:rsid w:val="00A044B4"/>
    <w:rsid w:val="00A047D5"/>
    <w:rsid w:val="00A04BAE"/>
    <w:rsid w:val="00A04E37"/>
    <w:rsid w:val="00A056A6"/>
    <w:rsid w:val="00A058F1"/>
    <w:rsid w:val="00A06388"/>
    <w:rsid w:val="00A06E36"/>
    <w:rsid w:val="00A07EAF"/>
    <w:rsid w:val="00A1029D"/>
    <w:rsid w:val="00A10EF3"/>
    <w:rsid w:val="00A11805"/>
    <w:rsid w:val="00A1273D"/>
    <w:rsid w:val="00A13114"/>
    <w:rsid w:val="00A136C8"/>
    <w:rsid w:val="00A13C63"/>
    <w:rsid w:val="00A144BA"/>
    <w:rsid w:val="00A148D1"/>
    <w:rsid w:val="00A15B30"/>
    <w:rsid w:val="00A15F53"/>
    <w:rsid w:val="00A1699D"/>
    <w:rsid w:val="00A23BAC"/>
    <w:rsid w:val="00A24331"/>
    <w:rsid w:val="00A24D9E"/>
    <w:rsid w:val="00A25672"/>
    <w:rsid w:val="00A25AD9"/>
    <w:rsid w:val="00A2643A"/>
    <w:rsid w:val="00A27001"/>
    <w:rsid w:val="00A277C5"/>
    <w:rsid w:val="00A27E8B"/>
    <w:rsid w:val="00A309AB"/>
    <w:rsid w:val="00A310EE"/>
    <w:rsid w:val="00A32CB1"/>
    <w:rsid w:val="00A32F20"/>
    <w:rsid w:val="00A3376D"/>
    <w:rsid w:val="00A34F4A"/>
    <w:rsid w:val="00A353F7"/>
    <w:rsid w:val="00A35BEF"/>
    <w:rsid w:val="00A362D9"/>
    <w:rsid w:val="00A36422"/>
    <w:rsid w:val="00A37469"/>
    <w:rsid w:val="00A40614"/>
    <w:rsid w:val="00A41238"/>
    <w:rsid w:val="00A41792"/>
    <w:rsid w:val="00A42B45"/>
    <w:rsid w:val="00A433FE"/>
    <w:rsid w:val="00A438C3"/>
    <w:rsid w:val="00A45B19"/>
    <w:rsid w:val="00A45B2E"/>
    <w:rsid w:val="00A4625A"/>
    <w:rsid w:val="00A467E5"/>
    <w:rsid w:val="00A46DBB"/>
    <w:rsid w:val="00A47776"/>
    <w:rsid w:val="00A5146C"/>
    <w:rsid w:val="00A518D8"/>
    <w:rsid w:val="00A51A45"/>
    <w:rsid w:val="00A51D69"/>
    <w:rsid w:val="00A52053"/>
    <w:rsid w:val="00A52333"/>
    <w:rsid w:val="00A539BE"/>
    <w:rsid w:val="00A54226"/>
    <w:rsid w:val="00A56779"/>
    <w:rsid w:val="00A5698A"/>
    <w:rsid w:val="00A57442"/>
    <w:rsid w:val="00A57604"/>
    <w:rsid w:val="00A57A9E"/>
    <w:rsid w:val="00A60ED4"/>
    <w:rsid w:val="00A6119B"/>
    <w:rsid w:val="00A615FE"/>
    <w:rsid w:val="00A61BC9"/>
    <w:rsid w:val="00A624F1"/>
    <w:rsid w:val="00A62974"/>
    <w:rsid w:val="00A633A9"/>
    <w:rsid w:val="00A63655"/>
    <w:rsid w:val="00A63D54"/>
    <w:rsid w:val="00A63FF3"/>
    <w:rsid w:val="00A642D3"/>
    <w:rsid w:val="00A64FF4"/>
    <w:rsid w:val="00A6550B"/>
    <w:rsid w:val="00A655A4"/>
    <w:rsid w:val="00A657BC"/>
    <w:rsid w:val="00A66597"/>
    <w:rsid w:val="00A66742"/>
    <w:rsid w:val="00A66BE9"/>
    <w:rsid w:val="00A67022"/>
    <w:rsid w:val="00A673FB"/>
    <w:rsid w:val="00A67D4F"/>
    <w:rsid w:val="00A67DAF"/>
    <w:rsid w:val="00A67F1B"/>
    <w:rsid w:val="00A67F9E"/>
    <w:rsid w:val="00A726DD"/>
    <w:rsid w:val="00A7270F"/>
    <w:rsid w:val="00A72F35"/>
    <w:rsid w:val="00A7337B"/>
    <w:rsid w:val="00A738A8"/>
    <w:rsid w:val="00A73B6B"/>
    <w:rsid w:val="00A73D3B"/>
    <w:rsid w:val="00A73DA2"/>
    <w:rsid w:val="00A73EA0"/>
    <w:rsid w:val="00A7431C"/>
    <w:rsid w:val="00A753EF"/>
    <w:rsid w:val="00A753FF"/>
    <w:rsid w:val="00A75F28"/>
    <w:rsid w:val="00A76F5F"/>
    <w:rsid w:val="00A778CD"/>
    <w:rsid w:val="00A80F0C"/>
    <w:rsid w:val="00A81ABD"/>
    <w:rsid w:val="00A8202C"/>
    <w:rsid w:val="00A8218B"/>
    <w:rsid w:val="00A8278F"/>
    <w:rsid w:val="00A827B0"/>
    <w:rsid w:val="00A82EB4"/>
    <w:rsid w:val="00A844DA"/>
    <w:rsid w:val="00A84CB2"/>
    <w:rsid w:val="00A84D9D"/>
    <w:rsid w:val="00A85408"/>
    <w:rsid w:val="00A85E43"/>
    <w:rsid w:val="00A8602B"/>
    <w:rsid w:val="00A86150"/>
    <w:rsid w:val="00A873B4"/>
    <w:rsid w:val="00A8748B"/>
    <w:rsid w:val="00A879A0"/>
    <w:rsid w:val="00A90129"/>
    <w:rsid w:val="00A9060E"/>
    <w:rsid w:val="00A908D5"/>
    <w:rsid w:val="00A90EF7"/>
    <w:rsid w:val="00A91BD6"/>
    <w:rsid w:val="00A920A9"/>
    <w:rsid w:val="00A92320"/>
    <w:rsid w:val="00A9257A"/>
    <w:rsid w:val="00A92942"/>
    <w:rsid w:val="00A92D5D"/>
    <w:rsid w:val="00A931A7"/>
    <w:rsid w:val="00A93D88"/>
    <w:rsid w:val="00A940A3"/>
    <w:rsid w:val="00A944F7"/>
    <w:rsid w:val="00A94F94"/>
    <w:rsid w:val="00A95240"/>
    <w:rsid w:val="00A95DFC"/>
    <w:rsid w:val="00A95F18"/>
    <w:rsid w:val="00A97799"/>
    <w:rsid w:val="00AA0359"/>
    <w:rsid w:val="00AA07C0"/>
    <w:rsid w:val="00AA0B81"/>
    <w:rsid w:val="00AA0E30"/>
    <w:rsid w:val="00AA1965"/>
    <w:rsid w:val="00AA1A1F"/>
    <w:rsid w:val="00AA2953"/>
    <w:rsid w:val="00AA39AF"/>
    <w:rsid w:val="00AA3D1C"/>
    <w:rsid w:val="00AA42A2"/>
    <w:rsid w:val="00AA42B6"/>
    <w:rsid w:val="00AA4D2E"/>
    <w:rsid w:val="00AA61F2"/>
    <w:rsid w:val="00AA6559"/>
    <w:rsid w:val="00AA7339"/>
    <w:rsid w:val="00AA7926"/>
    <w:rsid w:val="00AA7C5C"/>
    <w:rsid w:val="00AB02E6"/>
    <w:rsid w:val="00AB1229"/>
    <w:rsid w:val="00AB2F3D"/>
    <w:rsid w:val="00AB402B"/>
    <w:rsid w:val="00AB46FC"/>
    <w:rsid w:val="00AB4CAF"/>
    <w:rsid w:val="00AB4CD6"/>
    <w:rsid w:val="00AB502E"/>
    <w:rsid w:val="00AB6933"/>
    <w:rsid w:val="00AB7C7C"/>
    <w:rsid w:val="00AB7E61"/>
    <w:rsid w:val="00AC039E"/>
    <w:rsid w:val="00AC04A1"/>
    <w:rsid w:val="00AC257A"/>
    <w:rsid w:val="00AC2FEF"/>
    <w:rsid w:val="00AC371C"/>
    <w:rsid w:val="00AC3AFB"/>
    <w:rsid w:val="00AC4492"/>
    <w:rsid w:val="00AC48D3"/>
    <w:rsid w:val="00AC5A69"/>
    <w:rsid w:val="00AC5FEC"/>
    <w:rsid w:val="00AC66CB"/>
    <w:rsid w:val="00AC6EE8"/>
    <w:rsid w:val="00AD12E4"/>
    <w:rsid w:val="00AD14AF"/>
    <w:rsid w:val="00AD156E"/>
    <w:rsid w:val="00AD2AE4"/>
    <w:rsid w:val="00AD3367"/>
    <w:rsid w:val="00AD3FF8"/>
    <w:rsid w:val="00AD4427"/>
    <w:rsid w:val="00AD5E55"/>
    <w:rsid w:val="00AD6F0B"/>
    <w:rsid w:val="00AD708A"/>
    <w:rsid w:val="00AD7447"/>
    <w:rsid w:val="00AD7C42"/>
    <w:rsid w:val="00AD7DF2"/>
    <w:rsid w:val="00AE03E5"/>
    <w:rsid w:val="00AE0447"/>
    <w:rsid w:val="00AE1155"/>
    <w:rsid w:val="00AE149C"/>
    <w:rsid w:val="00AE1BBC"/>
    <w:rsid w:val="00AE1D2F"/>
    <w:rsid w:val="00AE2476"/>
    <w:rsid w:val="00AE2B89"/>
    <w:rsid w:val="00AE378F"/>
    <w:rsid w:val="00AE3BAF"/>
    <w:rsid w:val="00AE3C72"/>
    <w:rsid w:val="00AE4024"/>
    <w:rsid w:val="00AE4528"/>
    <w:rsid w:val="00AE4B33"/>
    <w:rsid w:val="00AE53EC"/>
    <w:rsid w:val="00AE5666"/>
    <w:rsid w:val="00AE5B5F"/>
    <w:rsid w:val="00AE5E43"/>
    <w:rsid w:val="00AE653D"/>
    <w:rsid w:val="00AE663D"/>
    <w:rsid w:val="00AE67D7"/>
    <w:rsid w:val="00AE705B"/>
    <w:rsid w:val="00AE7B11"/>
    <w:rsid w:val="00AF037F"/>
    <w:rsid w:val="00AF0553"/>
    <w:rsid w:val="00AF0D61"/>
    <w:rsid w:val="00AF1AC1"/>
    <w:rsid w:val="00AF2478"/>
    <w:rsid w:val="00AF2689"/>
    <w:rsid w:val="00AF27FA"/>
    <w:rsid w:val="00AF2928"/>
    <w:rsid w:val="00AF2FB1"/>
    <w:rsid w:val="00AF2FB5"/>
    <w:rsid w:val="00AF3E38"/>
    <w:rsid w:val="00AF6137"/>
    <w:rsid w:val="00AF740E"/>
    <w:rsid w:val="00B000B5"/>
    <w:rsid w:val="00B00C8A"/>
    <w:rsid w:val="00B01515"/>
    <w:rsid w:val="00B015F9"/>
    <w:rsid w:val="00B0183D"/>
    <w:rsid w:val="00B024AF"/>
    <w:rsid w:val="00B02AC2"/>
    <w:rsid w:val="00B02FD3"/>
    <w:rsid w:val="00B0379F"/>
    <w:rsid w:val="00B04540"/>
    <w:rsid w:val="00B04902"/>
    <w:rsid w:val="00B04F56"/>
    <w:rsid w:val="00B05A1E"/>
    <w:rsid w:val="00B05E11"/>
    <w:rsid w:val="00B05F2C"/>
    <w:rsid w:val="00B05F5F"/>
    <w:rsid w:val="00B06E7C"/>
    <w:rsid w:val="00B0761B"/>
    <w:rsid w:val="00B07D44"/>
    <w:rsid w:val="00B11832"/>
    <w:rsid w:val="00B136F0"/>
    <w:rsid w:val="00B13A44"/>
    <w:rsid w:val="00B14948"/>
    <w:rsid w:val="00B163B5"/>
    <w:rsid w:val="00B16431"/>
    <w:rsid w:val="00B175F1"/>
    <w:rsid w:val="00B17695"/>
    <w:rsid w:val="00B17E2F"/>
    <w:rsid w:val="00B17E43"/>
    <w:rsid w:val="00B17F24"/>
    <w:rsid w:val="00B20005"/>
    <w:rsid w:val="00B2068E"/>
    <w:rsid w:val="00B21350"/>
    <w:rsid w:val="00B21F78"/>
    <w:rsid w:val="00B23CC0"/>
    <w:rsid w:val="00B24AA4"/>
    <w:rsid w:val="00B257B5"/>
    <w:rsid w:val="00B257EE"/>
    <w:rsid w:val="00B25B33"/>
    <w:rsid w:val="00B25F5F"/>
    <w:rsid w:val="00B25FC0"/>
    <w:rsid w:val="00B26249"/>
    <w:rsid w:val="00B26CE4"/>
    <w:rsid w:val="00B2798F"/>
    <w:rsid w:val="00B27C71"/>
    <w:rsid w:val="00B302BD"/>
    <w:rsid w:val="00B309A4"/>
    <w:rsid w:val="00B309C9"/>
    <w:rsid w:val="00B31234"/>
    <w:rsid w:val="00B319AB"/>
    <w:rsid w:val="00B31EA5"/>
    <w:rsid w:val="00B32DA9"/>
    <w:rsid w:val="00B32F96"/>
    <w:rsid w:val="00B345B4"/>
    <w:rsid w:val="00B349B1"/>
    <w:rsid w:val="00B34D2E"/>
    <w:rsid w:val="00B34E3A"/>
    <w:rsid w:val="00B3731D"/>
    <w:rsid w:val="00B375ED"/>
    <w:rsid w:val="00B375F5"/>
    <w:rsid w:val="00B3774B"/>
    <w:rsid w:val="00B37BCF"/>
    <w:rsid w:val="00B402F8"/>
    <w:rsid w:val="00B4053F"/>
    <w:rsid w:val="00B41018"/>
    <w:rsid w:val="00B4180A"/>
    <w:rsid w:val="00B41D5F"/>
    <w:rsid w:val="00B4437E"/>
    <w:rsid w:val="00B45387"/>
    <w:rsid w:val="00B457B9"/>
    <w:rsid w:val="00B4653C"/>
    <w:rsid w:val="00B4686A"/>
    <w:rsid w:val="00B469F6"/>
    <w:rsid w:val="00B4705F"/>
    <w:rsid w:val="00B4796E"/>
    <w:rsid w:val="00B5164C"/>
    <w:rsid w:val="00B519F1"/>
    <w:rsid w:val="00B51B86"/>
    <w:rsid w:val="00B5331C"/>
    <w:rsid w:val="00B54702"/>
    <w:rsid w:val="00B54738"/>
    <w:rsid w:val="00B5520F"/>
    <w:rsid w:val="00B55260"/>
    <w:rsid w:val="00B575C2"/>
    <w:rsid w:val="00B57882"/>
    <w:rsid w:val="00B6083A"/>
    <w:rsid w:val="00B60D1B"/>
    <w:rsid w:val="00B60DF6"/>
    <w:rsid w:val="00B61BAE"/>
    <w:rsid w:val="00B62320"/>
    <w:rsid w:val="00B6424B"/>
    <w:rsid w:val="00B64301"/>
    <w:rsid w:val="00B64537"/>
    <w:rsid w:val="00B649D1"/>
    <w:rsid w:val="00B656D9"/>
    <w:rsid w:val="00B65FA4"/>
    <w:rsid w:val="00B65FF5"/>
    <w:rsid w:val="00B6606B"/>
    <w:rsid w:val="00B66794"/>
    <w:rsid w:val="00B667BD"/>
    <w:rsid w:val="00B66C7F"/>
    <w:rsid w:val="00B67AB9"/>
    <w:rsid w:val="00B7022B"/>
    <w:rsid w:val="00B70680"/>
    <w:rsid w:val="00B71373"/>
    <w:rsid w:val="00B7184E"/>
    <w:rsid w:val="00B71A5B"/>
    <w:rsid w:val="00B71A6D"/>
    <w:rsid w:val="00B72181"/>
    <w:rsid w:val="00B723B1"/>
    <w:rsid w:val="00B72569"/>
    <w:rsid w:val="00B729B6"/>
    <w:rsid w:val="00B72F68"/>
    <w:rsid w:val="00B74005"/>
    <w:rsid w:val="00B74187"/>
    <w:rsid w:val="00B7605D"/>
    <w:rsid w:val="00B764BD"/>
    <w:rsid w:val="00B76597"/>
    <w:rsid w:val="00B77166"/>
    <w:rsid w:val="00B775B8"/>
    <w:rsid w:val="00B77D4E"/>
    <w:rsid w:val="00B77F04"/>
    <w:rsid w:val="00B8022A"/>
    <w:rsid w:val="00B8067F"/>
    <w:rsid w:val="00B816AB"/>
    <w:rsid w:val="00B81A3E"/>
    <w:rsid w:val="00B82A3C"/>
    <w:rsid w:val="00B82D60"/>
    <w:rsid w:val="00B83181"/>
    <w:rsid w:val="00B83E44"/>
    <w:rsid w:val="00B84405"/>
    <w:rsid w:val="00B84512"/>
    <w:rsid w:val="00B84BA9"/>
    <w:rsid w:val="00B84DD1"/>
    <w:rsid w:val="00B86014"/>
    <w:rsid w:val="00B87CFF"/>
    <w:rsid w:val="00B90C92"/>
    <w:rsid w:val="00B90DF3"/>
    <w:rsid w:val="00B9148E"/>
    <w:rsid w:val="00B915F4"/>
    <w:rsid w:val="00B91F87"/>
    <w:rsid w:val="00B925AE"/>
    <w:rsid w:val="00B9466B"/>
    <w:rsid w:val="00B946AB"/>
    <w:rsid w:val="00B95593"/>
    <w:rsid w:val="00B95CB1"/>
    <w:rsid w:val="00B95ED8"/>
    <w:rsid w:val="00B96402"/>
    <w:rsid w:val="00B973D7"/>
    <w:rsid w:val="00B97B75"/>
    <w:rsid w:val="00B97D67"/>
    <w:rsid w:val="00BA0C1E"/>
    <w:rsid w:val="00BA0FFB"/>
    <w:rsid w:val="00BA2966"/>
    <w:rsid w:val="00BA3582"/>
    <w:rsid w:val="00BA38D5"/>
    <w:rsid w:val="00BA42A0"/>
    <w:rsid w:val="00BA4756"/>
    <w:rsid w:val="00BA4C9F"/>
    <w:rsid w:val="00BA5224"/>
    <w:rsid w:val="00BA5F1B"/>
    <w:rsid w:val="00BA7C71"/>
    <w:rsid w:val="00BB0470"/>
    <w:rsid w:val="00BB09B9"/>
    <w:rsid w:val="00BB108B"/>
    <w:rsid w:val="00BB15C2"/>
    <w:rsid w:val="00BB1CC5"/>
    <w:rsid w:val="00BB200D"/>
    <w:rsid w:val="00BB2827"/>
    <w:rsid w:val="00BB2C0C"/>
    <w:rsid w:val="00BB2F5F"/>
    <w:rsid w:val="00BB3C30"/>
    <w:rsid w:val="00BB4361"/>
    <w:rsid w:val="00BB4397"/>
    <w:rsid w:val="00BB4AAB"/>
    <w:rsid w:val="00BB6A77"/>
    <w:rsid w:val="00BB71B9"/>
    <w:rsid w:val="00BB77F1"/>
    <w:rsid w:val="00BB7BCD"/>
    <w:rsid w:val="00BC0062"/>
    <w:rsid w:val="00BC0684"/>
    <w:rsid w:val="00BC08A4"/>
    <w:rsid w:val="00BC13AE"/>
    <w:rsid w:val="00BC2376"/>
    <w:rsid w:val="00BC3A10"/>
    <w:rsid w:val="00BC5692"/>
    <w:rsid w:val="00BC59FB"/>
    <w:rsid w:val="00BC5A35"/>
    <w:rsid w:val="00BC5E71"/>
    <w:rsid w:val="00BC6B6F"/>
    <w:rsid w:val="00BC6D6F"/>
    <w:rsid w:val="00BD0B6F"/>
    <w:rsid w:val="00BD0C3C"/>
    <w:rsid w:val="00BD2599"/>
    <w:rsid w:val="00BD26D8"/>
    <w:rsid w:val="00BD27BA"/>
    <w:rsid w:val="00BD2ACF"/>
    <w:rsid w:val="00BD317F"/>
    <w:rsid w:val="00BD47E8"/>
    <w:rsid w:val="00BD4AF3"/>
    <w:rsid w:val="00BD6593"/>
    <w:rsid w:val="00BD684B"/>
    <w:rsid w:val="00BD6D92"/>
    <w:rsid w:val="00BD6DE1"/>
    <w:rsid w:val="00BD74CE"/>
    <w:rsid w:val="00BE1208"/>
    <w:rsid w:val="00BE23AA"/>
    <w:rsid w:val="00BE2E87"/>
    <w:rsid w:val="00BE2FC7"/>
    <w:rsid w:val="00BE338E"/>
    <w:rsid w:val="00BE4A7F"/>
    <w:rsid w:val="00BE651C"/>
    <w:rsid w:val="00BE659C"/>
    <w:rsid w:val="00BE7629"/>
    <w:rsid w:val="00BE7C14"/>
    <w:rsid w:val="00BF00FE"/>
    <w:rsid w:val="00BF0A3F"/>
    <w:rsid w:val="00BF0B90"/>
    <w:rsid w:val="00BF0E80"/>
    <w:rsid w:val="00BF1483"/>
    <w:rsid w:val="00BF1908"/>
    <w:rsid w:val="00BF1953"/>
    <w:rsid w:val="00BF22D3"/>
    <w:rsid w:val="00BF2966"/>
    <w:rsid w:val="00BF311B"/>
    <w:rsid w:val="00BF38FF"/>
    <w:rsid w:val="00BF3FE0"/>
    <w:rsid w:val="00BF4BA9"/>
    <w:rsid w:val="00BF6D55"/>
    <w:rsid w:val="00BF7AB7"/>
    <w:rsid w:val="00BF7C7C"/>
    <w:rsid w:val="00C008BF"/>
    <w:rsid w:val="00C01B70"/>
    <w:rsid w:val="00C01C1C"/>
    <w:rsid w:val="00C020CE"/>
    <w:rsid w:val="00C02111"/>
    <w:rsid w:val="00C035EE"/>
    <w:rsid w:val="00C03A6D"/>
    <w:rsid w:val="00C047D1"/>
    <w:rsid w:val="00C04A3E"/>
    <w:rsid w:val="00C05B59"/>
    <w:rsid w:val="00C065DD"/>
    <w:rsid w:val="00C065E3"/>
    <w:rsid w:val="00C0665E"/>
    <w:rsid w:val="00C06D2C"/>
    <w:rsid w:val="00C0782D"/>
    <w:rsid w:val="00C104FC"/>
    <w:rsid w:val="00C10636"/>
    <w:rsid w:val="00C1101A"/>
    <w:rsid w:val="00C11C4F"/>
    <w:rsid w:val="00C128ED"/>
    <w:rsid w:val="00C1294B"/>
    <w:rsid w:val="00C131C0"/>
    <w:rsid w:val="00C139EE"/>
    <w:rsid w:val="00C146B7"/>
    <w:rsid w:val="00C148C5"/>
    <w:rsid w:val="00C14B57"/>
    <w:rsid w:val="00C1546F"/>
    <w:rsid w:val="00C15831"/>
    <w:rsid w:val="00C16227"/>
    <w:rsid w:val="00C164AD"/>
    <w:rsid w:val="00C166F4"/>
    <w:rsid w:val="00C167C6"/>
    <w:rsid w:val="00C21BBF"/>
    <w:rsid w:val="00C21D85"/>
    <w:rsid w:val="00C2269E"/>
    <w:rsid w:val="00C22719"/>
    <w:rsid w:val="00C2396F"/>
    <w:rsid w:val="00C25847"/>
    <w:rsid w:val="00C25D8B"/>
    <w:rsid w:val="00C27131"/>
    <w:rsid w:val="00C27265"/>
    <w:rsid w:val="00C27907"/>
    <w:rsid w:val="00C27B8F"/>
    <w:rsid w:val="00C27D35"/>
    <w:rsid w:val="00C30652"/>
    <w:rsid w:val="00C306C3"/>
    <w:rsid w:val="00C30CB4"/>
    <w:rsid w:val="00C3120F"/>
    <w:rsid w:val="00C31285"/>
    <w:rsid w:val="00C3165B"/>
    <w:rsid w:val="00C324A1"/>
    <w:rsid w:val="00C32587"/>
    <w:rsid w:val="00C325C4"/>
    <w:rsid w:val="00C32965"/>
    <w:rsid w:val="00C33768"/>
    <w:rsid w:val="00C3404D"/>
    <w:rsid w:val="00C3565D"/>
    <w:rsid w:val="00C359CB"/>
    <w:rsid w:val="00C35E5E"/>
    <w:rsid w:val="00C3602E"/>
    <w:rsid w:val="00C36730"/>
    <w:rsid w:val="00C36BCE"/>
    <w:rsid w:val="00C375BC"/>
    <w:rsid w:val="00C37D13"/>
    <w:rsid w:val="00C40614"/>
    <w:rsid w:val="00C40ECE"/>
    <w:rsid w:val="00C42047"/>
    <w:rsid w:val="00C43560"/>
    <w:rsid w:val="00C448D4"/>
    <w:rsid w:val="00C44FB5"/>
    <w:rsid w:val="00C452B1"/>
    <w:rsid w:val="00C4584A"/>
    <w:rsid w:val="00C45CD5"/>
    <w:rsid w:val="00C46175"/>
    <w:rsid w:val="00C465A9"/>
    <w:rsid w:val="00C50604"/>
    <w:rsid w:val="00C51698"/>
    <w:rsid w:val="00C51753"/>
    <w:rsid w:val="00C51811"/>
    <w:rsid w:val="00C5181D"/>
    <w:rsid w:val="00C5190B"/>
    <w:rsid w:val="00C51D36"/>
    <w:rsid w:val="00C52392"/>
    <w:rsid w:val="00C530D7"/>
    <w:rsid w:val="00C54089"/>
    <w:rsid w:val="00C55550"/>
    <w:rsid w:val="00C559BA"/>
    <w:rsid w:val="00C560E2"/>
    <w:rsid w:val="00C571BF"/>
    <w:rsid w:val="00C57640"/>
    <w:rsid w:val="00C60004"/>
    <w:rsid w:val="00C60A42"/>
    <w:rsid w:val="00C623BB"/>
    <w:rsid w:val="00C63719"/>
    <w:rsid w:val="00C644AE"/>
    <w:rsid w:val="00C67DB3"/>
    <w:rsid w:val="00C67EC2"/>
    <w:rsid w:val="00C703BB"/>
    <w:rsid w:val="00C70C6C"/>
    <w:rsid w:val="00C72972"/>
    <w:rsid w:val="00C729CF"/>
    <w:rsid w:val="00C73131"/>
    <w:rsid w:val="00C735E7"/>
    <w:rsid w:val="00C74461"/>
    <w:rsid w:val="00C74526"/>
    <w:rsid w:val="00C75033"/>
    <w:rsid w:val="00C7504F"/>
    <w:rsid w:val="00C75331"/>
    <w:rsid w:val="00C7560B"/>
    <w:rsid w:val="00C75887"/>
    <w:rsid w:val="00C758B8"/>
    <w:rsid w:val="00C75AF6"/>
    <w:rsid w:val="00C75E1A"/>
    <w:rsid w:val="00C75F8C"/>
    <w:rsid w:val="00C764E5"/>
    <w:rsid w:val="00C76D14"/>
    <w:rsid w:val="00C771C6"/>
    <w:rsid w:val="00C8089B"/>
    <w:rsid w:val="00C82461"/>
    <w:rsid w:val="00C82AAC"/>
    <w:rsid w:val="00C82DC7"/>
    <w:rsid w:val="00C83154"/>
    <w:rsid w:val="00C83D3B"/>
    <w:rsid w:val="00C8465D"/>
    <w:rsid w:val="00C85D47"/>
    <w:rsid w:val="00C85FA9"/>
    <w:rsid w:val="00C867D8"/>
    <w:rsid w:val="00C86E2C"/>
    <w:rsid w:val="00C8706A"/>
    <w:rsid w:val="00C8749B"/>
    <w:rsid w:val="00C90589"/>
    <w:rsid w:val="00C90739"/>
    <w:rsid w:val="00C90851"/>
    <w:rsid w:val="00C90E52"/>
    <w:rsid w:val="00C9125C"/>
    <w:rsid w:val="00C920FA"/>
    <w:rsid w:val="00C92603"/>
    <w:rsid w:val="00C92858"/>
    <w:rsid w:val="00C941EB"/>
    <w:rsid w:val="00C9465C"/>
    <w:rsid w:val="00C94C92"/>
    <w:rsid w:val="00C95E87"/>
    <w:rsid w:val="00C9665B"/>
    <w:rsid w:val="00C96CC7"/>
    <w:rsid w:val="00C97033"/>
    <w:rsid w:val="00CA00F4"/>
    <w:rsid w:val="00CA2A03"/>
    <w:rsid w:val="00CA2B30"/>
    <w:rsid w:val="00CA31E5"/>
    <w:rsid w:val="00CA33E1"/>
    <w:rsid w:val="00CA35AA"/>
    <w:rsid w:val="00CA4DBE"/>
    <w:rsid w:val="00CA5908"/>
    <w:rsid w:val="00CA67D9"/>
    <w:rsid w:val="00CA6811"/>
    <w:rsid w:val="00CA6B9C"/>
    <w:rsid w:val="00CA7065"/>
    <w:rsid w:val="00CA7D28"/>
    <w:rsid w:val="00CA7E18"/>
    <w:rsid w:val="00CB03FC"/>
    <w:rsid w:val="00CB0E39"/>
    <w:rsid w:val="00CB21F9"/>
    <w:rsid w:val="00CB2682"/>
    <w:rsid w:val="00CB2E32"/>
    <w:rsid w:val="00CB3116"/>
    <w:rsid w:val="00CB3B0B"/>
    <w:rsid w:val="00CB3FFB"/>
    <w:rsid w:val="00CB48A2"/>
    <w:rsid w:val="00CB4ADD"/>
    <w:rsid w:val="00CB4D80"/>
    <w:rsid w:val="00CB64DD"/>
    <w:rsid w:val="00CB6883"/>
    <w:rsid w:val="00CB6B1E"/>
    <w:rsid w:val="00CB6C35"/>
    <w:rsid w:val="00CB6F08"/>
    <w:rsid w:val="00CB711D"/>
    <w:rsid w:val="00CB72FF"/>
    <w:rsid w:val="00CB7999"/>
    <w:rsid w:val="00CB7C4C"/>
    <w:rsid w:val="00CC0267"/>
    <w:rsid w:val="00CC0551"/>
    <w:rsid w:val="00CC12D2"/>
    <w:rsid w:val="00CC1401"/>
    <w:rsid w:val="00CC1566"/>
    <w:rsid w:val="00CC2959"/>
    <w:rsid w:val="00CC2A50"/>
    <w:rsid w:val="00CC2D55"/>
    <w:rsid w:val="00CC435D"/>
    <w:rsid w:val="00CC4520"/>
    <w:rsid w:val="00CC4979"/>
    <w:rsid w:val="00CC4E05"/>
    <w:rsid w:val="00CC5770"/>
    <w:rsid w:val="00CC6563"/>
    <w:rsid w:val="00CC68B0"/>
    <w:rsid w:val="00CC69AE"/>
    <w:rsid w:val="00CC6CE7"/>
    <w:rsid w:val="00CD09AE"/>
    <w:rsid w:val="00CD1333"/>
    <w:rsid w:val="00CD1431"/>
    <w:rsid w:val="00CD16C0"/>
    <w:rsid w:val="00CD2CB0"/>
    <w:rsid w:val="00CD357D"/>
    <w:rsid w:val="00CD3793"/>
    <w:rsid w:val="00CD3B25"/>
    <w:rsid w:val="00CD421C"/>
    <w:rsid w:val="00CD4B4A"/>
    <w:rsid w:val="00CD4C64"/>
    <w:rsid w:val="00CD4F67"/>
    <w:rsid w:val="00CD54FB"/>
    <w:rsid w:val="00CD55A3"/>
    <w:rsid w:val="00CD5971"/>
    <w:rsid w:val="00CD5F88"/>
    <w:rsid w:val="00CD60CB"/>
    <w:rsid w:val="00CE0837"/>
    <w:rsid w:val="00CE0D63"/>
    <w:rsid w:val="00CE10AF"/>
    <w:rsid w:val="00CE15F2"/>
    <w:rsid w:val="00CE3957"/>
    <w:rsid w:val="00CE3A40"/>
    <w:rsid w:val="00CE427A"/>
    <w:rsid w:val="00CE5E7B"/>
    <w:rsid w:val="00CE6349"/>
    <w:rsid w:val="00CE6401"/>
    <w:rsid w:val="00CE668C"/>
    <w:rsid w:val="00CE6DF7"/>
    <w:rsid w:val="00CE7E45"/>
    <w:rsid w:val="00CE7EB8"/>
    <w:rsid w:val="00CF004A"/>
    <w:rsid w:val="00CF154F"/>
    <w:rsid w:val="00CF3286"/>
    <w:rsid w:val="00CF3665"/>
    <w:rsid w:val="00CF37E4"/>
    <w:rsid w:val="00CF3893"/>
    <w:rsid w:val="00CF3F2A"/>
    <w:rsid w:val="00CF3FE9"/>
    <w:rsid w:val="00CF4324"/>
    <w:rsid w:val="00CF441A"/>
    <w:rsid w:val="00CF506C"/>
    <w:rsid w:val="00CF54CC"/>
    <w:rsid w:val="00CF5DE0"/>
    <w:rsid w:val="00CF62BB"/>
    <w:rsid w:val="00CF6910"/>
    <w:rsid w:val="00CF6C6A"/>
    <w:rsid w:val="00CF6E70"/>
    <w:rsid w:val="00CF7417"/>
    <w:rsid w:val="00CF774B"/>
    <w:rsid w:val="00D00FE7"/>
    <w:rsid w:val="00D0133E"/>
    <w:rsid w:val="00D013DB"/>
    <w:rsid w:val="00D024AC"/>
    <w:rsid w:val="00D02EBD"/>
    <w:rsid w:val="00D040FB"/>
    <w:rsid w:val="00D04913"/>
    <w:rsid w:val="00D04F62"/>
    <w:rsid w:val="00D05B6D"/>
    <w:rsid w:val="00D05E25"/>
    <w:rsid w:val="00D06199"/>
    <w:rsid w:val="00D0638B"/>
    <w:rsid w:val="00D06A11"/>
    <w:rsid w:val="00D06AB2"/>
    <w:rsid w:val="00D06FB3"/>
    <w:rsid w:val="00D07020"/>
    <w:rsid w:val="00D07A68"/>
    <w:rsid w:val="00D100C3"/>
    <w:rsid w:val="00D10747"/>
    <w:rsid w:val="00D118E3"/>
    <w:rsid w:val="00D11C87"/>
    <w:rsid w:val="00D11E96"/>
    <w:rsid w:val="00D120C4"/>
    <w:rsid w:val="00D12113"/>
    <w:rsid w:val="00D12369"/>
    <w:rsid w:val="00D1268D"/>
    <w:rsid w:val="00D127A9"/>
    <w:rsid w:val="00D1351D"/>
    <w:rsid w:val="00D1361C"/>
    <w:rsid w:val="00D1382A"/>
    <w:rsid w:val="00D1468E"/>
    <w:rsid w:val="00D14EFB"/>
    <w:rsid w:val="00D15315"/>
    <w:rsid w:val="00D15985"/>
    <w:rsid w:val="00D1636C"/>
    <w:rsid w:val="00D1757F"/>
    <w:rsid w:val="00D17D02"/>
    <w:rsid w:val="00D20270"/>
    <w:rsid w:val="00D20371"/>
    <w:rsid w:val="00D20ACB"/>
    <w:rsid w:val="00D20F84"/>
    <w:rsid w:val="00D21E92"/>
    <w:rsid w:val="00D229A0"/>
    <w:rsid w:val="00D22E7A"/>
    <w:rsid w:val="00D23080"/>
    <w:rsid w:val="00D236BF"/>
    <w:rsid w:val="00D24616"/>
    <w:rsid w:val="00D24867"/>
    <w:rsid w:val="00D25520"/>
    <w:rsid w:val="00D255EB"/>
    <w:rsid w:val="00D25740"/>
    <w:rsid w:val="00D27656"/>
    <w:rsid w:val="00D3066E"/>
    <w:rsid w:val="00D306C5"/>
    <w:rsid w:val="00D31604"/>
    <w:rsid w:val="00D31A11"/>
    <w:rsid w:val="00D31DF1"/>
    <w:rsid w:val="00D3298D"/>
    <w:rsid w:val="00D32B08"/>
    <w:rsid w:val="00D32EE0"/>
    <w:rsid w:val="00D33420"/>
    <w:rsid w:val="00D3431C"/>
    <w:rsid w:val="00D343B9"/>
    <w:rsid w:val="00D3458B"/>
    <w:rsid w:val="00D34A42"/>
    <w:rsid w:val="00D356C7"/>
    <w:rsid w:val="00D37187"/>
    <w:rsid w:val="00D376DC"/>
    <w:rsid w:val="00D37B30"/>
    <w:rsid w:val="00D402E0"/>
    <w:rsid w:val="00D4033D"/>
    <w:rsid w:val="00D405C1"/>
    <w:rsid w:val="00D42181"/>
    <w:rsid w:val="00D424AB"/>
    <w:rsid w:val="00D43C72"/>
    <w:rsid w:val="00D43F31"/>
    <w:rsid w:val="00D44310"/>
    <w:rsid w:val="00D44CBD"/>
    <w:rsid w:val="00D44ED6"/>
    <w:rsid w:val="00D450F3"/>
    <w:rsid w:val="00D458A8"/>
    <w:rsid w:val="00D45C1E"/>
    <w:rsid w:val="00D46C10"/>
    <w:rsid w:val="00D4776C"/>
    <w:rsid w:val="00D47C4F"/>
    <w:rsid w:val="00D5066F"/>
    <w:rsid w:val="00D512CD"/>
    <w:rsid w:val="00D514D7"/>
    <w:rsid w:val="00D51745"/>
    <w:rsid w:val="00D542D2"/>
    <w:rsid w:val="00D5484B"/>
    <w:rsid w:val="00D55031"/>
    <w:rsid w:val="00D56654"/>
    <w:rsid w:val="00D56709"/>
    <w:rsid w:val="00D60133"/>
    <w:rsid w:val="00D60C5E"/>
    <w:rsid w:val="00D61CF1"/>
    <w:rsid w:val="00D61D4C"/>
    <w:rsid w:val="00D61D6C"/>
    <w:rsid w:val="00D62166"/>
    <w:rsid w:val="00D6267D"/>
    <w:rsid w:val="00D62DDB"/>
    <w:rsid w:val="00D630FA"/>
    <w:rsid w:val="00D631C3"/>
    <w:rsid w:val="00D63C0B"/>
    <w:rsid w:val="00D6401C"/>
    <w:rsid w:val="00D669B3"/>
    <w:rsid w:val="00D66A0A"/>
    <w:rsid w:val="00D66EBA"/>
    <w:rsid w:val="00D67D74"/>
    <w:rsid w:val="00D7012F"/>
    <w:rsid w:val="00D71CCD"/>
    <w:rsid w:val="00D71F75"/>
    <w:rsid w:val="00D735BC"/>
    <w:rsid w:val="00D74C9A"/>
    <w:rsid w:val="00D751B4"/>
    <w:rsid w:val="00D754CC"/>
    <w:rsid w:val="00D779C1"/>
    <w:rsid w:val="00D806FE"/>
    <w:rsid w:val="00D80D6F"/>
    <w:rsid w:val="00D81773"/>
    <w:rsid w:val="00D81FCD"/>
    <w:rsid w:val="00D82C20"/>
    <w:rsid w:val="00D82F5E"/>
    <w:rsid w:val="00D82F78"/>
    <w:rsid w:val="00D85243"/>
    <w:rsid w:val="00D85BA1"/>
    <w:rsid w:val="00D86001"/>
    <w:rsid w:val="00D8619D"/>
    <w:rsid w:val="00D86EE1"/>
    <w:rsid w:val="00D87CB0"/>
    <w:rsid w:val="00D90435"/>
    <w:rsid w:val="00D90B5C"/>
    <w:rsid w:val="00D91167"/>
    <w:rsid w:val="00D9204C"/>
    <w:rsid w:val="00D930DA"/>
    <w:rsid w:val="00D9331B"/>
    <w:rsid w:val="00D94556"/>
    <w:rsid w:val="00D94D77"/>
    <w:rsid w:val="00D9657D"/>
    <w:rsid w:val="00D973E1"/>
    <w:rsid w:val="00DA05FA"/>
    <w:rsid w:val="00DA0DA9"/>
    <w:rsid w:val="00DA0DE3"/>
    <w:rsid w:val="00DA148E"/>
    <w:rsid w:val="00DA27A2"/>
    <w:rsid w:val="00DA33EA"/>
    <w:rsid w:val="00DA352E"/>
    <w:rsid w:val="00DA3657"/>
    <w:rsid w:val="00DA5348"/>
    <w:rsid w:val="00DA6831"/>
    <w:rsid w:val="00DA7333"/>
    <w:rsid w:val="00DA740D"/>
    <w:rsid w:val="00DB10FE"/>
    <w:rsid w:val="00DB23E1"/>
    <w:rsid w:val="00DB28B2"/>
    <w:rsid w:val="00DB31AF"/>
    <w:rsid w:val="00DB3BB8"/>
    <w:rsid w:val="00DB46B3"/>
    <w:rsid w:val="00DB5994"/>
    <w:rsid w:val="00DB7344"/>
    <w:rsid w:val="00DC1211"/>
    <w:rsid w:val="00DC121B"/>
    <w:rsid w:val="00DC1E48"/>
    <w:rsid w:val="00DC1F6D"/>
    <w:rsid w:val="00DC2440"/>
    <w:rsid w:val="00DC2854"/>
    <w:rsid w:val="00DC28A1"/>
    <w:rsid w:val="00DC3CC5"/>
    <w:rsid w:val="00DC3E3F"/>
    <w:rsid w:val="00DC45FB"/>
    <w:rsid w:val="00DC5BCB"/>
    <w:rsid w:val="00DC6ADF"/>
    <w:rsid w:val="00DC74FE"/>
    <w:rsid w:val="00DC78B8"/>
    <w:rsid w:val="00DD016F"/>
    <w:rsid w:val="00DD028D"/>
    <w:rsid w:val="00DD045A"/>
    <w:rsid w:val="00DD047D"/>
    <w:rsid w:val="00DD1428"/>
    <w:rsid w:val="00DD2556"/>
    <w:rsid w:val="00DD2CDE"/>
    <w:rsid w:val="00DD3327"/>
    <w:rsid w:val="00DD373C"/>
    <w:rsid w:val="00DD3BCD"/>
    <w:rsid w:val="00DD40A4"/>
    <w:rsid w:val="00DD482D"/>
    <w:rsid w:val="00DD4902"/>
    <w:rsid w:val="00DD503D"/>
    <w:rsid w:val="00DD53AA"/>
    <w:rsid w:val="00DD5D72"/>
    <w:rsid w:val="00DD6036"/>
    <w:rsid w:val="00DD6ADC"/>
    <w:rsid w:val="00DD76C7"/>
    <w:rsid w:val="00DE05E5"/>
    <w:rsid w:val="00DE0C86"/>
    <w:rsid w:val="00DE0C94"/>
    <w:rsid w:val="00DE17D1"/>
    <w:rsid w:val="00DE2431"/>
    <w:rsid w:val="00DE30F3"/>
    <w:rsid w:val="00DE3590"/>
    <w:rsid w:val="00DE3622"/>
    <w:rsid w:val="00DE3DB9"/>
    <w:rsid w:val="00DE442E"/>
    <w:rsid w:val="00DE4631"/>
    <w:rsid w:val="00DE54E8"/>
    <w:rsid w:val="00DE5806"/>
    <w:rsid w:val="00DF0651"/>
    <w:rsid w:val="00DF0818"/>
    <w:rsid w:val="00DF08A2"/>
    <w:rsid w:val="00DF0BCA"/>
    <w:rsid w:val="00DF114B"/>
    <w:rsid w:val="00DF117D"/>
    <w:rsid w:val="00DF1B81"/>
    <w:rsid w:val="00DF1F6E"/>
    <w:rsid w:val="00DF21B6"/>
    <w:rsid w:val="00DF2471"/>
    <w:rsid w:val="00DF34BB"/>
    <w:rsid w:val="00DF46CF"/>
    <w:rsid w:val="00DF56D2"/>
    <w:rsid w:val="00DF5B53"/>
    <w:rsid w:val="00DF653C"/>
    <w:rsid w:val="00DF6C0B"/>
    <w:rsid w:val="00DF6C39"/>
    <w:rsid w:val="00DF717F"/>
    <w:rsid w:val="00DF7696"/>
    <w:rsid w:val="00DF79EE"/>
    <w:rsid w:val="00E004A4"/>
    <w:rsid w:val="00E00861"/>
    <w:rsid w:val="00E011AB"/>
    <w:rsid w:val="00E01564"/>
    <w:rsid w:val="00E01A2B"/>
    <w:rsid w:val="00E024B1"/>
    <w:rsid w:val="00E028A8"/>
    <w:rsid w:val="00E03114"/>
    <w:rsid w:val="00E03B95"/>
    <w:rsid w:val="00E03C3F"/>
    <w:rsid w:val="00E04CCF"/>
    <w:rsid w:val="00E04D12"/>
    <w:rsid w:val="00E06921"/>
    <w:rsid w:val="00E06975"/>
    <w:rsid w:val="00E06A45"/>
    <w:rsid w:val="00E077E8"/>
    <w:rsid w:val="00E079A8"/>
    <w:rsid w:val="00E100FB"/>
    <w:rsid w:val="00E103AE"/>
    <w:rsid w:val="00E11010"/>
    <w:rsid w:val="00E1168A"/>
    <w:rsid w:val="00E124CB"/>
    <w:rsid w:val="00E133F7"/>
    <w:rsid w:val="00E13780"/>
    <w:rsid w:val="00E13BED"/>
    <w:rsid w:val="00E14302"/>
    <w:rsid w:val="00E1452B"/>
    <w:rsid w:val="00E153B3"/>
    <w:rsid w:val="00E15BC5"/>
    <w:rsid w:val="00E16340"/>
    <w:rsid w:val="00E1713C"/>
    <w:rsid w:val="00E175C9"/>
    <w:rsid w:val="00E20857"/>
    <w:rsid w:val="00E20BF8"/>
    <w:rsid w:val="00E21AA7"/>
    <w:rsid w:val="00E22EF7"/>
    <w:rsid w:val="00E24312"/>
    <w:rsid w:val="00E246C8"/>
    <w:rsid w:val="00E24B02"/>
    <w:rsid w:val="00E252AE"/>
    <w:rsid w:val="00E26AA3"/>
    <w:rsid w:val="00E30616"/>
    <w:rsid w:val="00E31D5F"/>
    <w:rsid w:val="00E3249B"/>
    <w:rsid w:val="00E327BB"/>
    <w:rsid w:val="00E330AF"/>
    <w:rsid w:val="00E331BD"/>
    <w:rsid w:val="00E33B6F"/>
    <w:rsid w:val="00E33D79"/>
    <w:rsid w:val="00E34967"/>
    <w:rsid w:val="00E35026"/>
    <w:rsid w:val="00E36B75"/>
    <w:rsid w:val="00E40942"/>
    <w:rsid w:val="00E4113A"/>
    <w:rsid w:val="00E411FB"/>
    <w:rsid w:val="00E43D05"/>
    <w:rsid w:val="00E43DE2"/>
    <w:rsid w:val="00E43F8F"/>
    <w:rsid w:val="00E45132"/>
    <w:rsid w:val="00E45A55"/>
    <w:rsid w:val="00E45DCB"/>
    <w:rsid w:val="00E45E40"/>
    <w:rsid w:val="00E4616E"/>
    <w:rsid w:val="00E469B2"/>
    <w:rsid w:val="00E46EDC"/>
    <w:rsid w:val="00E46FF2"/>
    <w:rsid w:val="00E476B0"/>
    <w:rsid w:val="00E47B86"/>
    <w:rsid w:val="00E5123C"/>
    <w:rsid w:val="00E51451"/>
    <w:rsid w:val="00E5236B"/>
    <w:rsid w:val="00E52AEA"/>
    <w:rsid w:val="00E52C05"/>
    <w:rsid w:val="00E536E8"/>
    <w:rsid w:val="00E539FA"/>
    <w:rsid w:val="00E53AE5"/>
    <w:rsid w:val="00E53C2F"/>
    <w:rsid w:val="00E54192"/>
    <w:rsid w:val="00E5482A"/>
    <w:rsid w:val="00E54FAC"/>
    <w:rsid w:val="00E554EA"/>
    <w:rsid w:val="00E55595"/>
    <w:rsid w:val="00E55BFB"/>
    <w:rsid w:val="00E56285"/>
    <w:rsid w:val="00E573ED"/>
    <w:rsid w:val="00E577B7"/>
    <w:rsid w:val="00E5788B"/>
    <w:rsid w:val="00E57E14"/>
    <w:rsid w:val="00E612C1"/>
    <w:rsid w:val="00E6140E"/>
    <w:rsid w:val="00E637B3"/>
    <w:rsid w:val="00E64197"/>
    <w:rsid w:val="00E64482"/>
    <w:rsid w:val="00E64B0D"/>
    <w:rsid w:val="00E65231"/>
    <w:rsid w:val="00E6557A"/>
    <w:rsid w:val="00E65A11"/>
    <w:rsid w:val="00E6632B"/>
    <w:rsid w:val="00E66388"/>
    <w:rsid w:val="00E6639C"/>
    <w:rsid w:val="00E66C32"/>
    <w:rsid w:val="00E66DAC"/>
    <w:rsid w:val="00E67372"/>
    <w:rsid w:val="00E6779E"/>
    <w:rsid w:val="00E67945"/>
    <w:rsid w:val="00E72D4A"/>
    <w:rsid w:val="00E73DFD"/>
    <w:rsid w:val="00E74103"/>
    <w:rsid w:val="00E75369"/>
    <w:rsid w:val="00E75B1F"/>
    <w:rsid w:val="00E76765"/>
    <w:rsid w:val="00E76D17"/>
    <w:rsid w:val="00E77AE1"/>
    <w:rsid w:val="00E77B5C"/>
    <w:rsid w:val="00E77FE9"/>
    <w:rsid w:val="00E8043A"/>
    <w:rsid w:val="00E81450"/>
    <w:rsid w:val="00E81643"/>
    <w:rsid w:val="00E81C7F"/>
    <w:rsid w:val="00E82A92"/>
    <w:rsid w:val="00E82AF3"/>
    <w:rsid w:val="00E836E9"/>
    <w:rsid w:val="00E8419D"/>
    <w:rsid w:val="00E8429C"/>
    <w:rsid w:val="00E8604A"/>
    <w:rsid w:val="00E861E5"/>
    <w:rsid w:val="00E871D8"/>
    <w:rsid w:val="00E9063C"/>
    <w:rsid w:val="00E90D3B"/>
    <w:rsid w:val="00E912BA"/>
    <w:rsid w:val="00E9154B"/>
    <w:rsid w:val="00E9206B"/>
    <w:rsid w:val="00E93D95"/>
    <w:rsid w:val="00E93FA2"/>
    <w:rsid w:val="00E94979"/>
    <w:rsid w:val="00E94B3F"/>
    <w:rsid w:val="00E94F2B"/>
    <w:rsid w:val="00E9564B"/>
    <w:rsid w:val="00E95C45"/>
    <w:rsid w:val="00E95D08"/>
    <w:rsid w:val="00E95FF9"/>
    <w:rsid w:val="00E96014"/>
    <w:rsid w:val="00E9617F"/>
    <w:rsid w:val="00E966DE"/>
    <w:rsid w:val="00EA198F"/>
    <w:rsid w:val="00EA20EC"/>
    <w:rsid w:val="00EA2342"/>
    <w:rsid w:val="00EA249C"/>
    <w:rsid w:val="00EA2639"/>
    <w:rsid w:val="00EA297F"/>
    <w:rsid w:val="00EA2F70"/>
    <w:rsid w:val="00EA3AB5"/>
    <w:rsid w:val="00EA40B9"/>
    <w:rsid w:val="00EA49FD"/>
    <w:rsid w:val="00EA542F"/>
    <w:rsid w:val="00EA601E"/>
    <w:rsid w:val="00EA73C2"/>
    <w:rsid w:val="00EA7955"/>
    <w:rsid w:val="00EA7D84"/>
    <w:rsid w:val="00EB00AB"/>
    <w:rsid w:val="00EB0290"/>
    <w:rsid w:val="00EB0C5B"/>
    <w:rsid w:val="00EB0E86"/>
    <w:rsid w:val="00EB23B5"/>
    <w:rsid w:val="00EB34CC"/>
    <w:rsid w:val="00EB3B0C"/>
    <w:rsid w:val="00EB3F55"/>
    <w:rsid w:val="00EB4496"/>
    <w:rsid w:val="00EB5FCF"/>
    <w:rsid w:val="00EB65A5"/>
    <w:rsid w:val="00EB6787"/>
    <w:rsid w:val="00EB6A1F"/>
    <w:rsid w:val="00EB6A93"/>
    <w:rsid w:val="00EB6CD3"/>
    <w:rsid w:val="00EB7217"/>
    <w:rsid w:val="00EB7299"/>
    <w:rsid w:val="00EB729A"/>
    <w:rsid w:val="00EC02B4"/>
    <w:rsid w:val="00EC3B49"/>
    <w:rsid w:val="00EC409B"/>
    <w:rsid w:val="00EC4611"/>
    <w:rsid w:val="00EC4AB6"/>
    <w:rsid w:val="00EC5EA8"/>
    <w:rsid w:val="00EC627B"/>
    <w:rsid w:val="00EC7C07"/>
    <w:rsid w:val="00ED1239"/>
    <w:rsid w:val="00ED177E"/>
    <w:rsid w:val="00ED1B3D"/>
    <w:rsid w:val="00ED21A2"/>
    <w:rsid w:val="00ED21C7"/>
    <w:rsid w:val="00ED273B"/>
    <w:rsid w:val="00ED377A"/>
    <w:rsid w:val="00ED4168"/>
    <w:rsid w:val="00ED4404"/>
    <w:rsid w:val="00ED4A3A"/>
    <w:rsid w:val="00ED628D"/>
    <w:rsid w:val="00ED6919"/>
    <w:rsid w:val="00ED7324"/>
    <w:rsid w:val="00ED78EF"/>
    <w:rsid w:val="00ED7A54"/>
    <w:rsid w:val="00EE0F2B"/>
    <w:rsid w:val="00EE1386"/>
    <w:rsid w:val="00EE193A"/>
    <w:rsid w:val="00EE1AF1"/>
    <w:rsid w:val="00EE2333"/>
    <w:rsid w:val="00EE2977"/>
    <w:rsid w:val="00EE2D02"/>
    <w:rsid w:val="00EE2E44"/>
    <w:rsid w:val="00EE3225"/>
    <w:rsid w:val="00EE37F5"/>
    <w:rsid w:val="00EE3945"/>
    <w:rsid w:val="00EE45CB"/>
    <w:rsid w:val="00EE4C58"/>
    <w:rsid w:val="00EE4C62"/>
    <w:rsid w:val="00EE4D89"/>
    <w:rsid w:val="00EE5B77"/>
    <w:rsid w:val="00EE5F23"/>
    <w:rsid w:val="00EE6FAC"/>
    <w:rsid w:val="00EE79A1"/>
    <w:rsid w:val="00EF0157"/>
    <w:rsid w:val="00EF03DD"/>
    <w:rsid w:val="00EF0CB7"/>
    <w:rsid w:val="00EF123B"/>
    <w:rsid w:val="00EF1390"/>
    <w:rsid w:val="00EF1C3B"/>
    <w:rsid w:val="00EF1F79"/>
    <w:rsid w:val="00EF2AEB"/>
    <w:rsid w:val="00EF341C"/>
    <w:rsid w:val="00EF3F50"/>
    <w:rsid w:val="00EF40A6"/>
    <w:rsid w:val="00EF4B3D"/>
    <w:rsid w:val="00EF4F89"/>
    <w:rsid w:val="00EF57ED"/>
    <w:rsid w:val="00EF6019"/>
    <w:rsid w:val="00EF6518"/>
    <w:rsid w:val="00F000FE"/>
    <w:rsid w:val="00F00166"/>
    <w:rsid w:val="00F00B37"/>
    <w:rsid w:val="00F01670"/>
    <w:rsid w:val="00F01B90"/>
    <w:rsid w:val="00F01F27"/>
    <w:rsid w:val="00F02555"/>
    <w:rsid w:val="00F06780"/>
    <w:rsid w:val="00F07843"/>
    <w:rsid w:val="00F07ACE"/>
    <w:rsid w:val="00F1019F"/>
    <w:rsid w:val="00F103EE"/>
    <w:rsid w:val="00F10FDF"/>
    <w:rsid w:val="00F125B3"/>
    <w:rsid w:val="00F131E1"/>
    <w:rsid w:val="00F1326C"/>
    <w:rsid w:val="00F134A5"/>
    <w:rsid w:val="00F14C24"/>
    <w:rsid w:val="00F15DB4"/>
    <w:rsid w:val="00F16EAA"/>
    <w:rsid w:val="00F20A02"/>
    <w:rsid w:val="00F20D8D"/>
    <w:rsid w:val="00F20DE9"/>
    <w:rsid w:val="00F218CE"/>
    <w:rsid w:val="00F21DA4"/>
    <w:rsid w:val="00F2254B"/>
    <w:rsid w:val="00F22D04"/>
    <w:rsid w:val="00F22DA5"/>
    <w:rsid w:val="00F2324E"/>
    <w:rsid w:val="00F23449"/>
    <w:rsid w:val="00F23820"/>
    <w:rsid w:val="00F23E5B"/>
    <w:rsid w:val="00F256B9"/>
    <w:rsid w:val="00F25A16"/>
    <w:rsid w:val="00F26C35"/>
    <w:rsid w:val="00F27214"/>
    <w:rsid w:val="00F273EF"/>
    <w:rsid w:val="00F300DC"/>
    <w:rsid w:val="00F3087D"/>
    <w:rsid w:val="00F309B6"/>
    <w:rsid w:val="00F31427"/>
    <w:rsid w:val="00F317BE"/>
    <w:rsid w:val="00F32352"/>
    <w:rsid w:val="00F32BEF"/>
    <w:rsid w:val="00F33601"/>
    <w:rsid w:val="00F33A0F"/>
    <w:rsid w:val="00F33A1A"/>
    <w:rsid w:val="00F33DD0"/>
    <w:rsid w:val="00F3450A"/>
    <w:rsid w:val="00F34A8E"/>
    <w:rsid w:val="00F34B59"/>
    <w:rsid w:val="00F34C8F"/>
    <w:rsid w:val="00F35C71"/>
    <w:rsid w:val="00F361A3"/>
    <w:rsid w:val="00F361C6"/>
    <w:rsid w:val="00F3688A"/>
    <w:rsid w:val="00F376AA"/>
    <w:rsid w:val="00F377D3"/>
    <w:rsid w:val="00F403EA"/>
    <w:rsid w:val="00F41110"/>
    <w:rsid w:val="00F41900"/>
    <w:rsid w:val="00F42320"/>
    <w:rsid w:val="00F42E55"/>
    <w:rsid w:val="00F432AF"/>
    <w:rsid w:val="00F433B7"/>
    <w:rsid w:val="00F43B51"/>
    <w:rsid w:val="00F441F0"/>
    <w:rsid w:val="00F44423"/>
    <w:rsid w:val="00F44CEB"/>
    <w:rsid w:val="00F45EFA"/>
    <w:rsid w:val="00F468AE"/>
    <w:rsid w:val="00F46AE0"/>
    <w:rsid w:val="00F46F2F"/>
    <w:rsid w:val="00F478C2"/>
    <w:rsid w:val="00F50449"/>
    <w:rsid w:val="00F50553"/>
    <w:rsid w:val="00F5076B"/>
    <w:rsid w:val="00F50E3B"/>
    <w:rsid w:val="00F53319"/>
    <w:rsid w:val="00F53464"/>
    <w:rsid w:val="00F53F73"/>
    <w:rsid w:val="00F5410B"/>
    <w:rsid w:val="00F54247"/>
    <w:rsid w:val="00F54C99"/>
    <w:rsid w:val="00F55537"/>
    <w:rsid w:val="00F558EB"/>
    <w:rsid w:val="00F559CE"/>
    <w:rsid w:val="00F55B02"/>
    <w:rsid w:val="00F55B58"/>
    <w:rsid w:val="00F55D55"/>
    <w:rsid w:val="00F5638D"/>
    <w:rsid w:val="00F56587"/>
    <w:rsid w:val="00F5662A"/>
    <w:rsid w:val="00F56908"/>
    <w:rsid w:val="00F56F76"/>
    <w:rsid w:val="00F57653"/>
    <w:rsid w:val="00F57A2E"/>
    <w:rsid w:val="00F60012"/>
    <w:rsid w:val="00F600E4"/>
    <w:rsid w:val="00F60591"/>
    <w:rsid w:val="00F61E4C"/>
    <w:rsid w:val="00F62139"/>
    <w:rsid w:val="00F6230A"/>
    <w:rsid w:val="00F628F9"/>
    <w:rsid w:val="00F62D7D"/>
    <w:rsid w:val="00F62EFE"/>
    <w:rsid w:val="00F632DF"/>
    <w:rsid w:val="00F6593E"/>
    <w:rsid w:val="00F664B1"/>
    <w:rsid w:val="00F70E5F"/>
    <w:rsid w:val="00F70E9C"/>
    <w:rsid w:val="00F710AC"/>
    <w:rsid w:val="00F721FF"/>
    <w:rsid w:val="00F7396B"/>
    <w:rsid w:val="00F73C64"/>
    <w:rsid w:val="00F73E35"/>
    <w:rsid w:val="00F74832"/>
    <w:rsid w:val="00F74B00"/>
    <w:rsid w:val="00F74EBE"/>
    <w:rsid w:val="00F75D2C"/>
    <w:rsid w:val="00F761DA"/>
    <w:rsid w:val="00F76D31"/>
    <w:rsid w:val="00F76E23"/>
    <w:rsid w:val="00F76FC1"/>
    <w:rsid w:val="00F775BA"/>
    <w:rsid w:val="00F775C8"/>
    <w:rsid w:val="00F806CC"/>
    <w:rsid w:val="00F8099C"/>
    <w:rsid w:val="00F81651"/>
    <w:rsid w:val="00F82AE4"/>
    <w:rsid w:val="00F83AEB"/>
    <w:rsid w:val="00F83E0A"/>
    <w:rsid w:val="00F84A9B"/>
    <w:rsid w:val="00F854D0"/>
    <w:rsid w:val="00F85574"/>
    <w:rsid w:val="00F86483"/>
    <w:rsid w:val="00F8659D"/>
    <w:rsid w:val="00F86E9F"/>
    <w:rsid w:val="00F872AC"/>
    <w:rsid w:val="00F8735E"/>
    <w:rsid w:val="00F8762E"/>
    <w:rsid w:val="00F8778E"/>
    <w:rsid w:val="00F8789C"/>
    <w:rsid w:val="00F87CFC"/>
    <w:rsid w:val="00F87FC4"/>
    <w:rsid w:val="00F90161"/>
    <w:rsid w:val="00F90300"/>
    <w:rsid w:val="00F90897"/>
    <w:rsid w:val="00F921D3"/>
    <w:rsid w:val="00F92523"/>
    <w:rsid w:val="00F92942"/>
    <w:rsid w:val="00F9364B"/>
    <w:rsid w:val="00F9454B"/>
    <w:rsid w:val="00F94581"/>
    <w:rsid w:val="00F94C98"/>
    <w:rsid w:val="00F951BC"/>
    <w:rsid w:val="00F954FF"/>
    <w:rsid w:val="00F972BE"/>
    <w:rsid w:val="00F97432"/>
    <w:rsid w:val="00F97586"/>
    <w:rsid w:val="00FA03F4"/>
    <w:rsid w:val="00FA0868"/>
    <w:rsid w:val="00FA10CC"/>
    <w:rsid w:val="00FA25D4"/>
    <w:rsid w:val="00FA2AD2"/>
    <w:rsid w:val="00FA2E4D"/>
    <w:rsid w:val="00FA3233"/>
    <w:rsid w:val="00FA3327"/>
    <w:rsid w:val="00FA36AB"/>
    <w:rsid w:val="00FA3CC7"/>
    <w:rsid w:val="00FA3F43"/>
    <w:rsid w:val="00FA3F48"/>
    <w:rsid w:val="00FA4B6A"/>
    <w:rsid w:val="00FA504E"/>
    <w:rsid w:val="00FA518E"/>
    <w:rsid w:val="00FA521A"/>
    <w:rsid w:val="00FA5373"/>
    <w:rsid w:val="00FA54D3"/>
    <w:rsid w:val="00FA58C5"/>
    <w:rsid w:val="00FA699E"/>
    <w:rsid w:val="00FA69F7"/>
    <w:rsid w:val="00FA6B6A"/>
    <w:rsid w:val="00FA6C9C"/>
    <w:rsid w:val="00FA74E4"/>
    <w:rsid w:val="00FA7533"/>
    <w:rsid w:val="00FA7B7A"/>
    <w:rsid w:val="00FB0716"/>
    <w:rsid w:val="00FB082A"/>
    <w:rsid w:val="00FB1888"/>
    <w:rsid w:val="00FB1EBE"/>
    <w:rsid w:val="00FB3011"/>
    <w:rsid w:val="00FB35AE"/>
    <w:rsid w:val="00FB3DCE"/>
    <w:rsid w:val="00FB4E3B"/>
    <w:rsid w:val="00FB50C9"/>
    <w:rsid w:val="00FB53E7"/>
    <w:rsid w:val="00FB5B11"/>
    <w:rsid w:val="00FB5FBA"/>
    <w:rsid w:val="00FB62DA"/>
    <w:rsid w:val="00FB7052"/>
    <w:rsid w:val="00FB70E2"/>
    <w:rsid w:val="00FB731F"/>
    <w:rsid w:val="00FC078D"/>
    <w:rsid w:val="00FC0C43"/>
    <w:rsid w:val="00FC104A"/>
    <w:rsid w:val="00FC2102"/>
    <w:rsid w:val="00FC2B35"/>
    <w:rsid w:val="00FC3629"/>
    <w:rsid w:val="00FC3806"/>
    <w:rsid w:val="00FC3C00"/>
    <w:rsid w:val="00FC483B"/>
    <w:rsid w:val="00FC4894"/>
    <w:rsid w:val="00FC4968"/>
    <w:rsid w:val="00FC61C2"/>
    <w:rsid w:val="00FC7A5A"/>
    <w:rsid w:val="00FC7DE1"/>
    <w:rsid w:val="00FC7E7C"/>
    <w:rsid w:val="00FD1151"/>
    <w:rsid w:val="00FD1BD4"/>
    <w:rsid w:val="00FD2307"/>
    <w:rsid w:val="00FD29A2"/>
    <w:rsid w:val="00FD2E58"/>
    <w:rsid w:val="00FD404E"/>
    <w:rsid w:val="00FD49C0"/>
    <w:rsid w:val="00FD4F2E"/>
    <w:rsid w:val="00FD5719"/>
    <w:rsid w:val="00FD6313"/>
    <w:rsid w:val="00FD63EC"/>
    <w:rsid w:val="00FD68F0"/>
    <w:rsid w:val="00FD696F"/>
    <w:rsid w:val="00FD6A86"/>
    <w:rsid w:val="00FE0580"/>
    <w:rsid w:val="00FE0582"/>
    <w:rsid w:val="00FE1044"/>
    <w:rsid w:val="00FE1EE1"/>
    <w:rsid w:val="00FE2621"/>
    <w:rsid w:val="00FE2C00"/>
    <w:rsid w:val="00FE2F8F"/>
    <w:rsid w:val="00FE3002"/>
    <w:rsid w:val="00FE3981"/>
    <w:rsid w:val="00FE4844"/>
    <w:rsid w:val="00FE4DF9"/>
    <w:rsid w:val="00FE4F4A"/>
    <w:rsid w:val="00FE6831"/>
    <w:rsid w:val="00FE7681"/>
    <w:rsid w:val="00FE7795"/>
    <w:rsid w:val="00FE7A02"/>
    <w:rsid w:val="00FE7CC2"/>
    <w:rsid w:val="00FF02E3"/>
    <w:rsid w:val="00FF069C"/>
    <w:rsid w:val="00FF10D9"/>
    <w:rsid w:val="00FF17C1"/>
    <w:rsid w:val="00FF1882"/>
    <w:rsid w:val="00FF1F4F"/>
    <w:rsid w:val="00FF2F2C"/>
    <w:rsid w:val="00FF38B8"/>
    <w:rsid w:val="00FF3AB4"/>
    <w:rsid w:val="00FF3B5A"/>
    <w:rsid w:val="00FF3D0F"/>
    <w:rsid w:val="00FF4317"/>
    <w:rsid w:val="00FF4962"/>
    <w:rsid w:val="00FF5C03"/>
    <w:rsid w:val="00FF600C"/>
    <w:rsid w:val="00FF603F"/>
    <w:rsid w:val="00FF694B"/>
    <w:rsid w:val="00FF6E5B"/>
    <w:rsid w:val="00FF77CC"/>
    <w:rsid w:val="00FF7E6E"/>
    <w:rsid w:val="00FF7EEF"/>
    <w:rsid w:val="1E70F2CC"/>
    <w:rsid w:val="265399BB"/>
    <w:rsid w:val="477BFD9C"/>
    <w:rsid w:val="4E481D2D"/>
    <w:rsid w:val="59A5D358"/>
    <w:rsid w:val="61727A13"/>
    <w:rsid w:val="741F2CED"/>
    <w:rsid w:val="7971D091"/>
    <w:rsid w:val="7C0A1AB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F5C55"/>
  <w15:docId w15:val="{30B84934-F6B0-4AE4-9851-70A25D51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59A5D358"/>
    <w:pPr>
      <w:spacing w:line="210" w:lineRule="exact"/>
    </w:pPr>
    <w:rPr>
      <w:rFonts w:ascii="Interstate-Light" w:hAnsi="Interstate-Light"/>
      <w:sz w:val="18"/>
      <w:szCs w:val="18"/>
      <w:lang w:val="cs-CZ"/>
    </w:rPr>
  </w:style>
  <w:style w:type="paragraph" w:styleId="Nadpis1">
    <w:name w:val="heading 1"/>
    <w:basedOn w:val="Normln"/>
    <w:next w:val="Normln"/>
    <w:uiPriority w:val="1"/>
    <w:qFormat/>
    <w:rsid w:val="59A5D358"/>
    <w:pPr>
      <w:keepNext/>
      <w:outlineLvl w:val="0"/>
    </w:pPr>
    <w:rPr>
      <w:rFonts w:ascii="Interstate-Bold" w:hAnsi="Interstate-Bold" w:cs="Arial"/>
    </w:rPr>
  </w:style>
  <w:style w:type="paragraph" w:styleId="Nadpis2">
    <w:name w:val="heading 2"/>
    <w:basedOn w:val="Normln"/>
    <w:next w:val="Normln"/>
    <w:uiPriority w:val="1"/>
    <w:qFormat/>
    <w:rsid w:val="59A5D358"/>
    <w:pPr>
      <w:keepNext/>
      <w:spacing w:before="240" w:after="60"/>
      <w:outlineLvl w:val="1"/>
    </w:pPr>
    <w:rPr>
      <w:rFonts w:ascii="Times New Roman" w:hAnsi="Times New Roman" w:cs="Arial"/>
      <w:b/>
      <w:bCs/>
      <w:sz w:val="48"/>
      <w:szCs w:val="48"/>
    </w:rPr>
  </w:style>
  <w:style w:type="paragraph" w:styleId="Nadpis3">
    <w:name w:val="heading 3"/>
    <w:basedOn w:val="Normln"/>
    <w:next w:val="Normln"/>
    <w:uiPriority w:val="1"/>
    <w:qFormat/>
    <w:rsid w:val="59A5D358"/>
    <w:pPr>
      <w:keepNext/>
      <w:spacing w:before="240" w:after="60"/>
      <w:outlineLvl w:val="2"/>
    </w:pPr>
    <w:rPr>
      <w:rFonts w:ascii="Times New Roman" w:hAnsi="Times New Roman" w:cs="Arial"/>
      <w:b/>
      <w:bCs/>
      <w:sz w:val="40"/>
      <w:szCs w:val="40"/>
    </w:rPr>
  </w:style>
  <w:style w:type="paragraph" w:styleId="Nadpis4">
    <w:name w:val="heading 4"/>
    <w:basedOn w:val="Normln"/>
    <w:next w:val="Normln"/>
    <w:link w:val="Nadpis4Char"/>
    <w:uiPriority w:val="9"/>
    <w:unhideWhenUsed/>
    <w:qFormat/>
    <w:rsid w:val="59A5D358"/>
    <w:pPr>
      <w:keepNext/>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unhideWhenUsed/>
    <w:qFormat/>
    <w:rsid w:val="59A5D358"/>
    <w:pPr>
      <w:keepNext/>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unhideWhenUsed/>
    <w:qFormat/>
    <w:rsid w:val="59A5D358"/>
    <w:pPr>
      <w:keepNext/>
      <w:spacing w:before="40"/>
      <w:outlineLvl w:val="5"/>
    </w:pPr>
    <w:rPr>
      <w:rFonts w:asciiTheme="majorHAnsi" w:eastAsiaTheme="majorEastAsia" w:hAnsiTheme="majorHAnsi" w:cstheme="majorBidi"/>
      <w:color w:val="243F60"/>
    </w:rPr>
  </w:style>
  <w:style w:type="paragraph" w:styleId="Nadpis7">
    <w:name w:val="heading 7"/>
    <w:basedOn w:val="Normln"/>
    <w:next w:val="Normln"/>
    <w:link w:val="Nadpis7Char"/>
    <w:uiPriority w:val="9"/>
    <w:unhideWhenUsed/>
    <w:qFormat/>
    <w:rsid w:val="59A5D358"/>
    <w:pPr>
      <w:keepNext/>
      <w:spacing w:before="40"/>
      <w:outlineLvl w:val="6"/>
    </w:pPr>
    <w:rPr>
      <w:rFonts w:asciiTheme="majorHAnsi" w:eastAsiaTheme="majorEastAsia" w:hAnsiTheme="majorHAnsi" w:cstheme="majorBidi"/>
      <w:i/>
      <w:iCs/>
      <w:color w:val="243F60"/>
    </w:rPr>
  </w:style>
  <w:style w:type="paragraph" w:styleId="Nadpis8">
    <w:name w:val="heading 8"/>
    <w:basedOn w:val="Normln"/>
    <w:next w:val="Normln"/>
    <w:link w:val="Nadpis8Char"/>
    <w:uiPriority w:val="9"/>
    <w:unhideWhenUsed/>
    <w:qFormat/>
    <w:rsid w:val="59A5D358"/>
    <w:pPr>
      <w:keepNext/>
      <w:spacing w:before="40"/>
      <w:outlineLvl w:val="7"/>
    </w:pPr>
    <w:rPr>
      <w:rFonts w:asciiTheme="majorHAnsi" w:eastAsiaTheme="majorEastAsia" w:hAnsiTheme="majorHAnsi" w:cstheme="majorBidi"/>
      <w:color w:val="272727"/>
      <w:sz w:val="21"/>
      <w:szCs w:val="21"/>
    </w:rPr>
  </w:style>
  <w:style w:type="paragraph" w:styleId="Nadpis9">
    <w:name w:val="heading 9"/>
    <w:basedOn w:val="Normln"/>
    <w:next w:val="Normln"/>
    <w:link w:val="Nadpis9Char"/>
    <w:uiPriority w:val="9"/>
    <w:unhideWhenUsed/>
    <w:qFormat/>
    <w:rsid w:val="59A5D358"/>
    <w:pPr>
      <w:keepNext/>
      <w:spacing w:before="40"/>
      <w:outlineLvl w:val="8"/>
    </w:pPr>
    <w:rPr>
      <w:rFonts w:asciiTheme="majorHAnsi" w:eastAsiaTheme="majorEastAsia" w:hAnsiTheme="majorHAnsi" w:cstheme="majorBidi"/>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uiPriority w:val="1"/>
    <w:rsid w:val="59A5D358"/>
    <w:pPr>
      <w:tabs>
        <w:tab w:val="center" w:pos="4536"/>
        <w:tab w:val="right" w:pos="9072"/>
      </w:tabs>
    </w:pPr>
  </w:style>
  <w:style w:type="paragraph" w:styleId="Zpat">
    <w:name w:val="footer"/>
    <w:basedOn w:val="Normln"/>
    <w:uiPriority w:val="1"/>
    <w:rsid w:val="59A5D358"/>
    <w:pPr>
      <w:tabs>
        <w:tab w:val="center" w:pos="4536"/>
        <w:tab w:val="right" w:pos="9072"/>
      </w:tabs>
    </w:pPr>
  </w:style>
  <w:style w:type="paragraph" w:customStyle="1" w:styleId="Sub-Headline9pt">
    <w:name w:val="Sub-Headline 9pt"/>
    <w:basedOn w:val="Sub-Headline9ptwithoutline"/>
    <w:uiPriority w:val="1"/>
    <w:rsid w:val="59A5D358"/>
  </w:style>
  <w:style w:type="paragraph" w:customStyle="1" w:styleId="Footnote">
    <w:name w:val="Footnote"/>
    <w:basedOn w:val="Normln"/>
    <w:next w:val="Normln"/>
    <w:uiPriority w:val="1"/>
    <w:rsid w:val="59A5D358"/>
    <w:rPr>
      <w:color w:val="000000" w:themeColor="text1"/>
      <w:sz w:val="14"/>
      <w:szCs w:val="14"/>
    </w:rPr>
  </w:style>
  <w:style w:type="paragraph" w:customStyle="1" w:styleId="Table">
    <w:name w:val="Table"/>
    <w:basedOn w:val="Normln"/>
    <w:uiPriority w:val="1"/>
    <w:rsid w:val="59A5D358"/>
    <w:pPr>
      <w:spacing w:before="20" w:after="20"/>
      <w:ind w:left="57"/>
    </w:pPr>
    <w:rPr>
      <w:rFonts w:cs="Arial"/>
    </w:rPr>
  </w:style>
  <w:style w:type="table" w:styleId="Mkatabulky">
    <w:name w:val="Table Grid"/>
    <w:basedOn w:val="Normlntabulka"/>
    <w:rsid w:val="003878E1"/>
    <w:pPr>
      <w:spacing w:line="21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FormatvorlageAufgezhlt">
    <w:name w:val="Formatvorlage Aufgezählt"/>
    <w:basedOn w:val="Bezseznamu"/>
    <w:rsid w:val="002B5B06"/>
    <w:pPr>
      <w:numPr>
        <w:numId w:val="4"/>
      </w:numPr>
    </w:pPr>
  </w:style>
  <w:style w:type="paragraph" w:styleId="Zkladntext">
    <w:name w:val="Body Text"/>
    <w:basedOn w:val="Normln"/>
    <w:link w:val="ZkladntextChar"/>
    <w:uiPriority w:val="1"/>
    <w:rsid w:val="59A5D358"/>
    <w:pPr>
      <w:spacing w:line="360" w:lineRule="auto"/>
    </w:pPr>
    <w:rPr>
      <w:rFonts w:ascii="Courier New" w:hAnsi="Courier New"/>
      <w:sz w:val="24"/>
      <w:szCs w:val="24"/>
    </w:rPr>
  </w:style>
  <w:style w:type="paragraph" w:customStyle="1" w:styleId="Sub-Headline9ptunder-lined">
    <w:name w:val="Sub-Headline 9pt under-lined"/>
    <w:basedOn w:val="Normln"/>
    <w:uiPriority w:val="1"/>
    <w:rsid w:val="59A5D358"/>
    <w:rPr>
      <w:u w:val="single"/>
    </w:rPr>
  </w:style>
  <w:style w:type="paragraph" w:customStyle="1" w:styleId="Sub-Headline11">
    <w:name w:val="Sub-Headline 11"/>
    <w:basedOn w:val="Nadpis1"/>
    <w:uiPriority w:val="1"/>
    <w:rsid w:val="59A5D358"/>
    <w:pPr>
      <w:spacing w:line="360" w:lineRule="auto"/>
    </w:pPr>
    <w:rPr>
      <w:rFonts w:eastAsia="MS Mincho" w:cs="Times New Roman"/>
      <w:sz w:val="22"/>
      <w:szCs w:val="22"/>
      <w:lang w:eastAsia="ja-JP" w:bidi="hi-IN"/>
    </w:rPr>
  </w:style>
  <w:style w:type="paragraph" w:customStyle="1" w:styleId="Sub-Headline9ptwithoutline">
    <w:name w:val="Sub-Headline 9pt without line"/>
    <w:basedOn w:val="Normln"/>
    <w:uiPriority w:val="1"/>
    <w:rsid w:val="59A5D358"/>
    <w:rPr>
      <w:rFonts w:ascii="Interstate-Bold" w:hAnsi="Interstate-Bold"/>
    </w:rPr>
  </w:style>
  <w:style w:type="paragraph" w:styleId="FormtovanvHTML">
    <w:name w:val="HTML Preformatted"/>
    <w:basedOn w:val="Normln"/>
    <w:uiPriority w:val="1"/>
    <w:rsid w:val="59A5D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MS Mincho" w:hAnsi="Courier New" w:cs="Courier New"/>
      <w:sz w:val="20"/>
      <w:szCs w:val="20"/>
      <w:lang w:eastAsia="ja-JP"/>
    </w:rPr>
  </w:style>
  <w:style w:type="paragraph" w:styleId="Textbubliny">
    <w:name w:val="Balloon Text"/>
    <w:basedOn w:val="Normln"/>
    <w:uiPriority w:val="1"/>
    <w:semiHidden/>
    <w:rsid w:val="59A5D358"/>
    <w:rPr>
      <w:rFonts w:ascii="Tahoma" w:hAnsi="Tahoma" w:cs="Tahoma"/>
      <w:sz w:val="16"/>
      <w:szCs w:val="16"/>
    </w:rPr>
  </w:style>
  <w:style w:type="paragraph" w:styleId="Normlnweb">
    <w:name w:val="Normal (Web)"/>
    <w:basedOn w:val="Normln"/>
    <w:uiPriority w:val="99"/>
    <w:rsid w:val="59A5D358"/>
    <w:pPr>
      <w:spacing w:beforeAutospacing="1" w:afterAutospacing="1" w:line="240" w:lineRule="auto"/>
    </w:pPr>
    <w:rPr>
      <w:rFonts w:ascii="Times New Roman" w:eastAsia="MS Mincho" w:hAnsi="Times New Roman"/>
      <w:sz w:val="24"/>
      <w:szCs w:val="24"/>
      <w:lang w:eastAsia="ja-JP"/>
    </w:rPr>
  </w:style>
  <w:style w:type="paragraph" w:styleId="Rozloendokumentu">
    <w:name w:val="Document Map"/>
    <w:basedOn w:val="Normln"/>
    <w:uiPriority w:val="1"/>
    <w:semiHidden/>
    <w:rsid w:val="59A5D358"/>
    <w:rPr>
      <w:rFonts w:ascii="Tahoma" w:hAnsi="Tahoma" w:cs="Tahoma"/>
      <w:sz w:val="20"/>
      <w:szCs w:val="20"/>
    </w:rPr>
  </w:style>
  <w:style w:type="paragraph" w:styleId="Textpoznpodarou">
    <w:name w:val="footnote text"/>
    <w:basedOn w:val="Normln"/>
    <w:link w:val="TextpoznpodarouChar"/>
    <w:uiPriority w:val="99"/>
    <w:rsid w:val="59A5D358"/>
    <w:rPr>
      <w:sz w:val="20"/>
      <w:szCs w:val="20"/>
    </w:rPr>
  </w:style>
  <w:style w:type="character" w:styleId="Znakapoznpodarou">
    <w:name w:val="footnote reference"/>
    <w:uiPriority w:val="99"/>
    <w:rsid w:val="00E64197"/>
    <w:rPr>
      <w:vertAlign w:val="superscript"/>
    </w:rPr>
  </w:style>
  <w:style w:type="character" w:styleId="Odkaznakoment">
    <w:name w:val="annotation reference"/>
    <w:semiHidden/>
    <w:rsid w:val="00E330AF"/>
    <w:rPr>
      <w:sz w:val="16"/>
      <w:szCs w:val="16"/>
    </w:rPr>
  </w:style>
  <w:style w:type="paragraph" w:styleId="Textkomente">
    <w:name w:val="annotation text"/>
    <w:basedOn w:val="Normln"/>
    <w:uiPriority w:val="1"/>
    <w:semiHidden/>
    <w:rsid w:val="59A5D358"/>
    <w:rPr>
      <w:sz w:val="20"/>
      <w:szCs w:val="20"/>
    </w:rPr>
  </w:style>
  <w:style w:type="paragraph" w:styleId="Pedmtkomente">
    <w:name w:val="annotation subject"/>
    <w:basedOn w:val="Textkomente"/>
    <w:next w:val="Textkomente"/>
    <w:uiPriority w:val="1"/>
    <w:semiHidden/>
    <w:rsid w:val="59A5D358"/>
    <w:rPr>
      <w:b/>
      <w:bCs/>
    </w:rPr>
  </w:style>
  <w:style w:type="character" w:styleId="Sledovanodkaz">
    <w:name w:val="FollowedHyperlink"/>
    <w:rsid w:val="00CD4F67"/>
    <w:rPr>
      <w:color w:val="800080"/>
      <w:u w:val="single"/>
    </w:rPr>
  </w:style>
  <w:style w:type="character" w:customStyle="1" w:styleId="TextpoznpodarouChar">
    <w:name w:val="Text pozn. pod čarou Char"/>
    <w:link w:val="Textpoznpodarou"/>
    <w:uiPriority w:val="99"/>
    <w:rsid w:val="59A5D358"/>
    <w:rPr>
      <w:rFonts w:ascii="Interstate-Light" w:hAnsi="Interstate-Light"/>
      <w:noProof w:val="0"/>
      <w:lang w:val="cs-CZ"/>
    </w:rPr>
  </w:style>
  <w:style w:type="character" w:customStyle="1" w:styleId="ZkladntextChar">
    <w:name w:val="Základní text Char"/>
    <w:link w:val="Zkladntext"/>
    <w:uiPriority w:val="1"/>
    <w:rsid w:val="59A5D358"/>
    <w:rPr>
      <w:rFonts w:ascii="Courier New" w:hAnsi="Courier New"/>
      <w:noProof w:val="0"/>
      <w:sz w:val="24"/>
      <w:szCs w:val="24"/>
      <w:lang w:val="cs-CZ"/>
    </w:rPr>
  </w:style>
  <w:style w:type="paragraph" w:styleId="Odstavecseseznamem">
    <w:name w:val="List Paragraph"/>
    <w:basedOn w:val="Normln"/>
    <w:uiPriority w:val="34"/>
    <w:qFormat/>
    <w:rsid w:val="59A5D358"/>
    <w:pPr>
      <w:spacing w:line="240" w:lineRule="auto"/>
      <w:ind w:left="720"/>
    </w:pPr>
    <w:rPr>
      <w:rFonts w:ascii="Calibri" w:eastAsiaTheme="minorEastAsia" w:hAnsi="Calibri"/>
      <w:sz w:val="22"/>
      <w:szCs w:val="22"/>
    </w:rPr>
  </w:style>
  <w:style w:type="character" w:customStyle="1" w:styleId="apple-converted-space">
    <w:name w:val="apple-converted-space"/>
    <w:basedOn w:val="Standardnpsmoodstavce"/>
    <w:rsid w:val="00F00166"/>
  </w:style>
  <w:style w:type="paragraph" w:styleId="Revize">
    <w:name w:val="Revision"/>
    <w:hidden/>
    <w:uiPriority w:val="99"/>
    <w:semiHidden/>
    <w:rsid w:val="00A04BAE"/>
    <w:rPr>
      <w:rFonts w:ascii="Interstate-Light" w:hAnsi="Interstate-Light"/>
      <w:spacing w:val="-2"/>
      <w:sz w:val="18"/>
      <w:szCs w:val="24"/>
    </w:rPr>
  </w:style>
  <w:style w:type="character" w:styleId="Hypertextovodkaz">
    <w:name w:val="Hyperlink"/>
    <w:uiPriority w:val="99"/>
    <w:rsid w:val="00346D43"/>
    <w:rPr>
      <w:color w:val="0000FF"/>
      <w:u w:val="single"/>
    </w:rPr>
  </w:style>
  <w:style w:type="paragraph" w:customStyle="1" w:styleId="NoList1">
    <w:name w:val="No List1"/>
    <w:basedOn w:val="Normln"/>
    <w:uiPriority w:val="1"/>
    <w:rsid w:val="59A5D358"/>
    <w:pPr>
      <w:spacing w:line="240" w:lineRule="auto"/>
    </w:pPr>
    <w:rPr>
      <w:rFonts w:ascii="Palatino Linotype" w:eastAsia="Calibri" w:hAnsi="Palatino Linotype"/>
      <w:sz w:val="20"/>
      <w:szCs w:val="20"/>
      <w:lang w:eastAsia="en-GB"/>
    </w:rPr>
  </w:style>
  <w:style w:type="paragraph" w:customStyle="1" w:styleId="Default">
    <w:name w:val="Default"/>
    <w:rsid w:val="00860260"/>
    <w:pPr>
      <w:autoSpaceDE w:val="0"/>
      <w:autoSpaceDN w:val="0"/>
      <w:adjustRightInd w:val="0"/>
    </w:pPr>
    <w:rPr>
      <w:rFonts w:ascii="Invesco Interstate Light" w:eastAsiaTheme="minorHAnsi" w:hAnsi="Invesco Interstate Light" w:cs="Invesco Interstate Light"/>
      <w:color w:val="000000"/>
      <w:sz w:val="24"/>
      <w:szCs w:val="24"/>
      <w:lang w:eastAsia="en-US"/>
    </w:rPr>
  </w:style>
  <w:style w:type="character" w:customStyle="1" w:styleId="Bodybold">
    <w:name w:val="Body bold"/>
    <w:basedOn w:val="Standardnpsmoodstavce"/>
    <w:qFormat/>
    <w:rsid w:val="004545D9"/>
    <w:rPr>
      <w:b/>
      <w:bCs/>
    </w:rPr>
  </w:style>
  <w:style w:type="character" w:styleId="Siln">
    <w:name w:val="Strong"/>
    <w:basedOn w:val="Standardnpsmoodstavce"/>
    <w:uiPriority w:val="22"/>
    <w:qFormat/>
    <w:rsid w:val="00011256"/>
    <w:rPr>
      <w:b/>
      <w:bCs/>
    </w:rPr>
  </w:style>
  <w:style w:type="character" w:customStyle="1" w:styleId="A8">
    <w:name w:val="A8"/>
    <w:uiPriority w:val="99"/>
    <w:rsid w:val="004A4A38"/>
    <w:rPr>
      <w:rFonts w:cs="Invesco Interstate Light"/>
      <w:color w:val="211D1E"/>
      <w:sz w:val="18"/>
      <w:szCs w:val="18"/>
    </w:rPr>
  </w:style>
  <w:style w:type="paragraph" w:styleId="Nzev">
    <w:name w:val="Title"/>
    <w:basedOn w:val="Normln"/>
    <w:next w:val="Normln"/>
    <w:link w:val="NzevChar"/>
    <w:uiPriority w:val="10"/>
    <w:qFormat/>
    <w:rsid w:val="59A5D358"/>
    <w:pPr>
      <w:spacing w:line="240" w:lineRule="auto"/>
      <w:contextualSpacing/>
    </w:pPr>
    <w:rPr>
      <w:rFonts w:asciiTheme="majorHAnsi" w:eastAsiaTheme="majorEastAsia" w:hAnsiTheme="majorHAnsi" w:cstheme="majorBidi"/>
      <w:sz w:val="56"/>
      <w:szCs w:val="56"/>
    </w:rPr>
  </w:style>
  <w:style w:type="paragraph" w:styleId="Podnadpis">
    <w:name w:val="Subtitle"/>
    <w:basedOn w:val="Normln"/>
    <w:next w:val="Normln"/>
    <w:link w:val="PodnadpisChar"/>
    <w:uiPriority w:val="11"/>
    <w:qFormat/>
    <w:rsid w:val="59A5D358"/>
    <w:rPr>
      <w:rFonts w:eastAsiaTheme="minorEastAsia"/>
      <w:color w:val="5A5A5A"/>
    </w:rPr>
  </w:style>
  <w:style w:type="paragraph" w:styleId="Citt">
    <w:name w:val="Quote"/>
    <w:basedOn w:val="Normln"/>
    <w:next w:val="Normln"/>
    <w:link w:val="CittChar"/>
    <w:uiPriority w:val="29"/>
    <w:qFormat/>
    <w:rsid w:val="59A5D358"/>
    <w:pPr>
      <w:spacing w:before="200"/>
      <w:ind w:left="864" w:right="864"/>
      <w:jc w:val="center"/>
    </w:pPr>
    <w:rPr>
      <w:i/>
      <w:iCs/>
      <w:color w:val="404040" w:themeColor="text1" w:themeTint="BF"/>
    </w:rPr>
  </w:style>
  <w:style w:type="paragraph" w:styleId="Vrazncitt">
    <w:name w:val="Intense Quote"/>
    <w:basedOn w:val="Normln"/>
    <w:next w:val="Normln"/>
    <w:link w:val="VrazncittChar"/>
    <w:uiPriority w:val="30"/>
    <w:qFormat/>
    <w:rsid w:val="59A5D358"/>
    <w:pPr>
      <w:spacing w:before="360" w:after="360"/>
      <w:ind w:left="864" w:right="864"/>
      <w:jc w:val="center"/>
    </w:pPr>
    <w:rPr>
      <w:i/>
      <w:iCs/>
      <w:color w:val="4F81BD" w:themeColor="accent1"/>
    </w:rPr>
  </w:style>
  <w:style w:type="character" w:customStyle="1" w:styleId="Nadpis4Char">
    <w:name w:val="Nadpis 4 Char"/>
    <w:basedOn w:val="Standardnpsmoodstavce"/>
    <w:link w:val="Nadpis4"/>
    <w:uiPriority w:val="9"/>
    <w:rsid w:val="59A5D358"/>
    <w:rPr>
      <w:rFonts w:asciiTheme="majorHAnsi" w:eastAsiaTheme="majorEastAsia" w:hAnsiTheme="majorHAnsi" w:cstheme="majorBidi"/>
      <w:i/>
      <w:iCs/>
      <w:noProof w:val="0"/>
      <w:color w:val="365F91" w:themeColor="accent1" w:themeShade="BF"/>
      <w:lang w:val="cs-CZ"/>
    </w:rPr>
  </w:style>
  <w:style w:type="character" w:customStyle="1" w:styleId="Nadpis5Char">
    <w:name w:val="Nadpis 5 Char"/>
    <w:basedOn w:val="Standardnpsmoodstavce"/>
    <w:link w:val="Nadpis5"/>
    <w:uiPriority w:val="9"/>
    <w:rsid w:val="59A5D358"/>
    <w:rPr>
      <w:rFonts w:asciiTheme="majorHAnsi" w:eastAsiaTheme="majorEastAsia" w:hAnsiTheme="majorHAnsi" w:cstheme="majorBidi"/>
      <w:noProof w:val="0"/>
      <w:color w:val="365F91" w:themeColor="accent1" w:themeShade="BF"/>
      <w:lang w:val="cs-CZ"/>
    </w:rPr>
  </w:style>
  <w:style w:type="character" w:customStyle="1" w:styleId="Nadpis6Char">
    <w:name w:val="Nadpis 6 Char"/>
    <w:basedOn w:val="Standardnpsmoodstavce"/>
    <w:link w:val="Nadpis6"/>
    <w:uiPriority w:val="9"/>
    <w:rsid w:val="59A5D358"/>
    <w:rPr>
      <w:rFonts w:asciiTheme="majorHAnsi" w:eastAsiaTheme="majorEastAsia" w:hAnsiTheme="majorHAnsi" w:cstheme="majorBidi"/>
      <w:noProof w:val="0"/>
      <w:color w:val="243F60"/>
      <w:lang w:val="cs-CZ"/>
    </w:rPr>
  </w:style>
  <w:style w:type="character" w:customStyle="1" w:styleId="Nadpis7Char">
    <w:name w:val="Nadpis 7 Char"/>
    <w:basedOn w:val="Standardnpsmoodstavce"/>
    <w:link w:val="Nadpis7"/>
    <w:uiPriority w:val="9"/>
    <w:rsid w:val="59A5D358"/>
    <w:rPr>
      <w:rFonts w:asciiTheme="majorHAnsi" w:eastAsiaTheme="majorEastAsia" w:hAnsiTheme="majorHAnsi" w:cstheme="majorBidi"/>
      <w:i/>
      <w:iCs/>
      <w:noProof w:val="0"/>
      <w:color w:val="243F60"/>
      <w:lang w:val="cs-CZ"/>
    </w:rPr>
  </w:style>
  <w:style w:type="character" w:customStyle="1" w:styleId="Nadpis8Char">
    <w:name w:val="Nadpis 8 Char"/>
    <w:basedOn w:val="Standardnpsmoodstavce"/>
    <w:link w:val="Nadpis8"/>
    <w:uiPriority w:val="9"/>
    <w:rsid w:val="59A5D358"/>
    <w:rPr>
      <w:rFonts w:asciiTheme="majorHAnsi" w:eastAsiaTheme="majorEastAsia" w:hAnsiTheme="majorHAnsi" w:cstheme="majorBidi"/>
      <w:noProof w:val="0"/>
      <w:color w:val="272727"/>
      <w:sz w:val="21"/>
      <w:szCs w:val="21"/>
      <w:lang w:val="cs-CZ"/>
    </w:rPr>
  </w:style>
  <w:style w:type="character" w:customStyle="1" w:styleId="Nadpis9Char">
    <w:name w:val="Nadpis 9 Char"/>
    <w:basedOn w:val="Standardnpsmoodstavce"/>
    <w:link w:val="Nadpis9"/>
    <w:uiPriority w:val="9"/>
    <w:rsid w:val="59A5D358"/>
    <w:rPr>
      <w:rFonts w:asciiTheme="majorHAnsi" w:eastAsiaTheme="majorEastAsia" w:hAnsiTheme="majorHAnsi" w:cstheme="majorBidi"/>
      <w:i/>
      <w:iCs/>
      <w:noProof w:val="0"/>
      <w:color w:val="272727"/>
      <w:sz w:val="21"/>
      <w:szCs w:val="21"/>
      <w:lang w:val="cs-CZ"/>
    </w:rPr>
  </w:style>
  <w:style w:type="character" w:customStyle="1" w:styleId="NzevChar">
    <w:name w:val="Název Char"/>
    <w:basedOn w:val="Standardnpsmoodstavce"/>
    <w:link w:val="Nzev"/>
    <w:uiPriority w:val="10"/>
    <w:rsid w:val="59A5D358"/>
    <w:rPr>
      <w:rFonts w:asciiTheme="majorHAnsi" w:eastAsiaTheme="majorEastAsia" w:hAnsiTheme="majorHAnsi" w:cstheme="majorBidi"/>
      <w:noProof w:val="0"/>
      <w:sz w:val="56"/>
      <w:szCs w:val="56"/>
      <w:lang w:val="cs-CZ"/>
    </w:rPr>
  </w:style>
  <w:style w:type="character" w:customStyle="1" w:styleId="PodnadpisChar">
    <w:name w:val="Podnadpis Char"/>
    <w:basedOn w:val="Standardnpsmoodstavce"/>
    <w:link w:val="Podnadpis"/>
    <w:uiPriority w:val="11"/>
    <w:rsid w:val="59A5D358"/>
    <w:rPr>
      <w:rFonts w:ascii="Times New Roman" w:eastAsiaTheme="minorEastAsia" w:hAnsi="Times New Roman" w:cs="Times New Roman"/>
      <w:noProof w:val="0"/>
      <w:color w:val="5A5A5A"/>
      <w:lang w:val="cs-CZ"/>
    </w:rPr>
  </w:style>
  <w:style w:type="character" w:customStyle="1" w:styleId="CittChar">
    <w:name w:val="Citát Char"/>
    <w:basedOn w:val="Standardnpsmoodstavce"/>
    <w:link w:val="Citt"/>
    <w:uiPriority w:val="29"/>
    <w:rsid w:val="59A5D358"/>
    <w:rPr>
      <w:i/>
      <w:iCs/>
      <w:noProof w:val="0"/>
      <w:color w:val="404040" w:themeColor="text1" w:themeTint="BF"/>
      <w:lang w:val="cs-CZ"/>
    </w:rPr>
  </w:style>
  <w:style w:type="character" w:customStyle="1" w:styleId="VrazncittChar">
    <w:name w:val="Výrazný citát Char"/>
    <w:basedOn w:val="Standardnpsmoodstavce"/>
    <w:link w:val="Vrazncitt"/>
    <w:uiPriority w:val="30"/>
    <w:rsid w:val="59A5D358"/>
    <w:rPr>
      <w:i/>
      <w:iCs/>
      <w:noProof w:val="0"/>
      <w:color w:val="4F81BD" w:themeColor="accent1"/>
      <w:lang w:val="cs-CZ"/>
    </w:rPr>
  </w:style>
  <w:style w:type="paragraph" w:styleId="Obsah1">
    <w:name w:val="toc 1"/>
    <w:basedOn w:val="Normln"/>
    <w:next w:val="Normln"/>
    <w:uiPriority w:val="39"/>
    <w:unhideWhenUsed/>
    <w:rsid w:val="59A5D358"/>
    <w:pPr>
      <w:spacing w:after="100"/>
    </w:pPr>
  </w:style>
  <w:style w:type="paragraph" w:styleId="Obsah2">
    <w:name w:val="toc 2"/>
    <w:basedOn w:val="Normln"/>
    <w:next w:val="Normln"/>
    <w:uiPriority w:val="39"/>
    <w:unhideWhenUsed/>
    <w:rsid w:val="59A5D358"/>
    <w:pPr>
      <w:spacing w:after="100"/>
      <w:ind w:left="220"/>
    </w:pPr>
  </w:style>
  <w:style w:type="paragraph" w:styleId="Obsah3">
    <w:name w:val="toc 3"/>
    <w:basedOn w:val="Normln"/>
    <w:next w:val="Normln"/>
    <w:uiPriority w:val="39"/>
    <w:unhideWhenUsed/>
    <w:rsid w:val="59A5D358"/>
    <w:pPr>
      <w:spacing w:after="100"/>
      <w:ind w:left="440"/>
    </w:pPr>
  </w:style>
  <w:style w:type="paragraph" w:styleId="Obsah4">
    <w:name w:val="toc 4"/>
    <w:basedOn w:val="Normln"/>
    <w:next w:val="Normln"/>
    <w:uiPriority w:val="39"/>
    <w:unhideWhenUsed/>
    <w:rsid w:val="59A5D358"/>
    <w:pPr>
      <w:spacing w:after="100"/>
      <w:ind w:left="660"/>
    </w:pPr>
  </w:style>
  <w:style w:type="paragraph" w:styleId="Obsah5">
    <w:name w:val="toc 5"/>
    <w:basedOn w:val="Normln"/>
    <w:next w:val="Normln"/>
    <w:uiPriority w:val="39"/>
    <w:unhideWhenUsed/>
    <w:rsid w:val="59A5D358"/>
    <w:pPr>
      <w:spacing w:after="100"/>
      <w:ind w:left="880"/>
    </w:pPr>
  </w:style>
  <w:style w:type="paragraph" w:styleId="Obsah6">
    <w:name w:val="toc 6"/>
    <w:basedOn w:val="Normln"/>
    <w:next w:val="Normln"/>
    <w:uiPriority w:val="39"/>
    <w:unhideWhenUsed/>
    <w:rsid w:val="59A5D358"/>
    <w:pPr>
      <w:spacing w:after="100"/>
      <w:ind w:left="1100"/>
    </w:pPr>
  </w:style>
  <w:style w:type="paragraph" w:styleId="Obsah7">
    <w:name w:val="toc 7"/>
    <w:basedOn w:val="Normln"/>
    <w:next w:val="Normln"/>
    <w:uiPriority w:val="39"/>
    <w:unhideWhenUsed/>
    <w:rsid w:val="59A5D358"/>
    <w:pPr>
      <w:spacing w:after="100"/>
      <w:ind w:left="1320"/>
    </w:pPr>
  </w:style>
  <w:style w:type="paragraph" w:styleId="Obsah8">
    <w:name w:val="toc 8"/>
    <w:basedOn w:val="Normln"/>
    <w:next w:val="Normln"/>
    <w:uiPriority w:val="39"/>
    <w:unhideWhenUsed/>
    <w:rsid w:val="59A5D358"/>
    <w:pPr>
      <w:spacing w:after="100"/>
      <w:ind w:left="1540"/>
    </w:pPr>
  </w:style>
  <w:style w:type="paragraph" w:styleId="Obsah9">
    <w:name w:val="toc 9"/>
    <w:basedOn w:val="Normln"/>
    <w:next w:val="Normln"/>
    <w:uiPriority w:val="39"/>
    <w:unhideWhenUsed/>
    <w:rsid w:val="59A5D358"/>
    <w:pPr>
      <w:spacing w:after="100"/>
      <w:ind w:left="1760"/>
    </w:pPr>
  </w:style>
  <w:style w:type="paragraph" w:styleId="Textvysvtlivek">
    <w:name w:val="endnote text"/>
    <w:basedOn w:val="Normln"/>
    <w:link w:val="TextvysvtlivekChar"/>
    <w:uiPriority w:val="99"/>
    <w:semiHidden/>
    <w:unhideWhenUsed/>
    <w:rsid w:val="59A5D358"/>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59A5D358"/>
    <w:rPr>
      <w:noProof w:val="0"/>
      <w:sz w:val="20"/>
      <w:szCs w:val="20"/>
      <w:lang w:val="cs-CZ"/>
    </w:rPr>
  </w:style>
  <w:style w:type="paragraph" w:customStyle="1" w:styleId="key-takeawaysdesc">
    <w:name w:val="key-takeaways__desc"/>
    <w:basedOn w:val="Normln"/>
    <w:rsid w:val="000314AD"/>
    <w:pPr>
      <w:spacing w:before="100" w:beforeAutospacing="1" w:after="100" w:afterAutospacing="1" w:line="240" w:lineRule="auto"/>
    </w:pPr>
    <w:rPr>
      <w:rFonts w:ascii="Times New Roman" w:hAnsi="Times New Roman"/>
      <w:sz w:val="24"/>
      <w:szCs w:val="24"/>
      <w:lang w:eastAsia="cs-CZ"/>
    </w:rPr>
  </w:style>
  <w:style w:type="paragraph" w:customStyle="1" w:styleId="gmail-m2150731417562814734gmail-m6704279957707695932gmail-m-3490957566834524178gmail-m-7148903268299358622msolistparagraph">
    <w:name w:val="gmail-m_2150731417562814734gmail-m6704279957707695932gmail-m-3490957566834524178gmail-m-7148903268299358622msolistparagraph"/>
    <w:basedOn w:val="Normln"/>
    <w:rsid w:val="00283E34"/>
    <w:pPr>
      <w:suppressAutoHyphens/>
      <w:autoSpaceDN w:val="0"/>
      <w:spacing w:before="100" w:after="100" w:line="240" w:lineRule="auto"/>
      <w:textAlignment w:val="baseline"/>
    </w:pPr>
    <w:rPr>
      <w:rFonts w:ascii="Calibri" w:eastAsia="Calibri" w:hAnsi="Calibri" w:cs="Calibri"/>
      <w:sz w:val="22"/>
      <w:szCs w:val="22"/>
      <w:lang w:eastAsia="cs-CZ"/>
    </w:rPr>
  </w:style>
  <w:style w:type="paragraph" w:customStyle="1" w:styleId="gmail-m2150731417562814734gmail-m6704279957707695932gmail-m-3490957566834524178gmail-m-7148903268299358622default">
    <w:name w:val="gmail-m_2150731417562814734gmail-m6704279957707695932gmail-m-3490957566834524178gmail-m-7148903268299358622default"/>
    <w:basedOn w:val="Normln"/>
    <w:rsid w:val="002C051B"/>
    <w:pPr>
      <w:suppressAutoHyphens/>
      <w:autoSpaceDN w:val="0"/>
      <w:spacing w:before="100" w:after="100" w:line="240" w:lineRule="auto"/>
      <w:textAlignment w:val="baseline"/>
    </w:pPr>
    <w:rPr>
      <w:rFonts w:ascii="Calibri" w:eastAsia="Calibri" w:hAnsi="Calibri" w:cs="Calibri"/>
      <w:sz w:val="22"/>
      <w:szCs w:val="22"/>
      <w:lang w:eastAsia="cs-CZ"/>
    </w:rPr>
  </w:style>
  <w:style w:type="character" w:styleId="Nevyeenzmnka">
    <w:name w:val="Unresolved Mention"/>
    <w:basedOn w:val="Standardnpsmoodstavce"/>
    <w:uiPriority w:val="99"/>
    <w:semiHidden/>
    <w:unhideWhenUsed/>
    <w:rsid w:val="002F4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9196">
      <w:bodyDiv w:val="1"/>
      <w:marLeft w:val="0"/>
      <w:marRight w:val="0"/>
      <w:marTop w:val="0"/>
      <w:marBottom w:val="0"/>
      <w:divBdr>
        <w:top w:val="none" w:sz="0" w:space="0" w:color="auto"/>
        <w:left w:val="none" w:sz="0" w:space="0" w:color="auto"/>
        <w:bottom w:val="none" w:sz="0" w:space="0" w:color="auto"/>
        <w:right w:val="none" w:sz="0" w:space="0" w:color="auto"/>
      </w:divBdr>
    </w:div>
    <w:div w:id="374283106">
      <w:bodyDiv w:val="1"/>
      <w:marLeft w:val="0"/>
      <w:marRight w:val="0"/>
      <w:marTop w:val="0"/>
      <w:marBottom w:val="0"/>
      <w:divBdr>
        <w:top w:val="none" w:sz="0" w:space="0" w:color="auto"/>
        <w:left w:val="none" w:sz="0" w:space="0" w:color="auto"/>
        <w:bottom w:val="none" w:sz="0" w:space="0" w:color="auto"/>
        <w:right w:val="none" w:sz="0" w:space="0" w:color="auto"/>
      </w:divBdr>
    </w:div>
    <w:div w:id="410394323">
      <w:bodyDiv w:val="1"/>
      <w:marLeft w:val="0"/>
      <w:marRight w:val="0"/>
      <w:marTop w:val="0"/>
      <w:marBottom w:val="0"/>
      <w:divBdr>
        <w:top w:val="none" w:sz="0" w:space="0" w:color="auto"/>
        <w:left w:val="none" w:sz="0" w:space="0" w:color="auto"/>
        <w:bottom w:val="none" w:sz="0" w:space="0" w:color="auto"/>
        <w:right w:val="none" w:sz="0" w:space="0" w:color="auto"/>
      </w:divBdr>
      <w:divsChild>
        <w:div w:id="1680890250">
          <w:marLeft w:val="0"/>
          <w:marRight w:val="0"/>
          <w:marTop w:val="0"/>
          <w:marBottom w:val="0"/>
          <w:divBdr>
            <w:top w:val="none" w:sz="0" w:space="0" w:color="auto"/>
            <w:left w:val="none" w:sz="0" w:space="0" w:color="auto"/>
            <w:bottom w:val="none" w:sz="0" w:space="0" w:color="auto"/>
            <w:right w:val="none" w:sz="0" w:space="0" w:color="auto"/>
          </w:divBdr>
        </w:div>
      </w:divsChild>
    </w:div>
    <w:div w:id="583686955">
      <w:bodyDiv w:val="1"/>
      <w:marLeft w:val="0"/>
      <w:marRight w:val="0"/>
      <w:marTop w:val="0"/>
      <w:marBottom w:val="0"/>
      <w:divBdr>
        <w:top w:val="none" w:sz="0" w:space="0" w:color="auto"/>
        <w:left w:val="none" w:sz="0" w:space="0" w:color="auto"/>
        <w:bottom w:val="none" w:sz="0" w:space="0" w:color="auto"/>
        <w:right w:val="none" w:sz="0" w:space="0" w:color="auto"/>
      </w:divBdr>
      <w:divsChild>
        <w:div w:id="79302678">
          <w:marLeft w:val="0"/>
          <w:marRight w:val="0"/>
          <w:marTop w:val="0"/>
          <w:marBottom w:val="0"/>
          <w:divBdr>
            <w:top w:val="none" w:sz="0" w:space="0" w:color="auto"/>
            <w:left w:val="none" w:sz="0" w:space="0" w:color="auto"/>
            <w:bottom w:val="none" w:sz="0" w:space="0" w:color="auto"/>
            <w:right w:val="none" w:sz="0" w:space="0" w:color="auto"/>
          </w:divBdr>
        </w:div>
        <w:div w:id="1391001680">
          <w:marLeft w:val="0"/>
          <w:marRight w:val="0"/>
          <w:marTop w:val="0"/>
          <w:marBottom w:val="0"/>
          <w:divBdr>
            <w:top w:val="none" w:sz="0" w:space="0" w:color="auto"/>
            <w:left w:val="none" w:sz="0" w:space="0" w:color="auto"/>
            <w:bottom w:val="none" w:sz="0" w:space="0" w:color="auto"/>
            <w:right w:val="none" w:sz="0" w:space="0" w:color="auto"/>
          </w:divBdr>
        </w:div>
      </w:divsChild>
    </w:div>
    <w:div w:id="633755119">
      <w:bodyDiv w:val="1"/>
      <w:marLeft w:val="0"/>
      <w:marRight w:val="0"/>
      <w:marTop w:val="0"/>
      <w:marBottom w:val="0"/>
      <w:divBdr>
        <w:top w:val="none" w:sz="0" w:space="0" w:color="auto"/>
        <w:left w:val="none" w:sz="0" w:space="0" w:color="auto"/>
        <w:bottom w:val="none" w:sz="0" w:space="0" w:color="auto"/>
        <w:right w:val="none" w:sz="0" w:space="0" w:color="auto"/>
      </w:divBdr>
      <w:divsChild>
        <w:div w:id="1162625556">
          <w:marLeft w:val="0"/>
          <w:marRight w:val="0"/>
          <w:marTop w:val="0"/>
          <w:marBottom w:val="0"/>
          <w:divBdr>
            <w:top w:val="none" w:sz="0" w:space="0" w:color="auto"/>
            <w:left w:val="none" w:sz="0" w:space="0" w:color="auto"/>
            <w:bottom w:val="none" w:sz="0" w:space="0" w:color="auto"/>
            <w:right w:val="none" w:sz="0" w:space="0" w:color="auto"/>
          </w:divBdr>
        </w:div>
      </w:divsChild>
    </w:div>
    <w:div w:id="676005745">
      <w:bodyDiv w:val="1"/>
      <w:marLeft w:val="0"/>
      <w:marRight w:val="0"/>
      <w:marTop w:val="0"/>
      <w:marBottom w:val="0"/>
      <w:divBdr>
        <w:top w:val="none" w:sz="0" w:space="0" w:color="auto"/>
        <w:left w:val="none" w:sz="0" w:space="0" w:color="auto"/>
        <w:bottom w:val="none" w:sz="0" w:space="0" w:color="auto"/>
        <w:right w:val="none" w:sz="0" w:space="0" w:color="auto"/>
      </w:divBdr>
    </w:div>
    <w:div w:id="688718253">
      <w:bodyDiv w:val="1"/>
      <w:marLeft w:val="0"/>
      <w:marRight w:val="0"/>
      <w:marTop w:val="0"/>
      <w:marBottom w:val="0"/>
      <w:divBdr>
        <w:top w:val="none" w:sz="0" w:space="0" w:color="auto"/>
        <w:left w:val="none" w:sz="0" w:space="0" w:color="auto"/>
        <w:bottom w:val="none" w:sz="0" w:space="0" w:color="auto"/>
        <w:right w:val="none" w:sz="0" w:space="0" w:color="auto"/>
      </w:divBdr>
    </w:div>
    <w:div w:id="719550295">
      <w:bodyDiv w:val="1"/>
      <w:marLeft w:val="0"/>
      <w:marRight w:val="0"/>
      <w:marTop w:val="0"/>
      <w:marBottom w:val="0"/>
      <w:divBdr>
        <w:top w:val="none" w:sz="0" w:space="0" w:color="auto"/>
        <w:left w:val="none" w:sz="0" w:space="0" w:color="auto"/>
        <w:bottom w:val="none" w:sz="0" w:space="0" w:color="auto"/>
        <w:right w:val="none" w:sz="0" w:space="0" w:color="auto"/>
      </w:divBdr>
    </w:div>
    <w:div w:id="963343117">
      <w:bodyDiv w:val="1"/>
      <w:marLeft w:val="0"/>
      <w:marRight w:val="0"/>
      <w:marTop w:val="0"/>
      <w:marBottom w:val="0"/>
      <w:divBdr>
        <w:top w:val="none" w:sz="0" w:space="0" w:color="auto"/>
        <w:left w:val="none" w:sz="0" w:space="0" w:color="auto"/>
        <w:bottom w:val="none" w:sz="0" w:space="0" w:color="auto"/>
        <w:right w:val="none" w:sz="0" w:space="0" w:color="auto"/>
      </w:divBdr>
      <w:divsChild>
        <w:div w:id="1969168858">
          <w:marLeft w:val="0"/>
          <w:marRight w:val="0"/>
          <w:marTop w:val="0"/>
          <w:marBottom w:val="0"/>
          <w:divBdr>
            <w:top w:val="none" w:sz="0" w:space="0" w:color="auto"/>
            <w:left w:val="none" w:sz="0" w:space="0" w:color="auto"/>
            <w:bottom w:val="none" w:sz="0" w:space="0" w:color="auto"/>
            <w:right w:val="none" w:sz="0" w:space="0" w:color="auto"/>
          </w:divBdr>
        </w:div>
      </w:divsChild>
    </w:div>
    <w:div w:id="1038316575">
      <w:bodyDiv w:val="1"/>
      <w:marLeft w:val="0"/>
      <w:marRight w:val="0"/>
      <w:marTop w:val="0"/>
      <w:marBottom w:val="0"/>
      <w:divBdr>
        <w:top w:val="none" w:sz="0" w:space="0" w:color="auto"/>
        <w:left w:val="none" w:sz="0" w:space="0" w:color="auto"/>
        <w:bottom w:val="none" w:sz="0" w:space="0" w:color="auto"/>
        <w:right w:val="none" w:sz="0" w:space="0" w:color="auto"/>
      </w:divBdr>
    </w:div>
    <w:div w:id="1058279764">
      <w:bodyDiv w:val="1"/>
      <w:marLeft w:val="0"/>
      <w:marRight w:val="0"/>
      <w:marTop w:val="0"/>
      <w:marBottom w:val="0"/>
      <w:divBdr>
        <w:top w:val="none" w:sz="0" w:space="0" w:color="auto"/>
        <w:left w:val="none" w:sz="0" w:space="0" w:color="auto"/>
        <w:bottom w:val="none" w:sz="0" w:space="0" w:color="auto"/>
        <w:right w:val="none" w:sz="0" w:space="0" w:color="auto"/>
      </w:divBdr>
      <w:divsChild>
        <w:div w:id="573320582">
          <w:marLeft w:val="0"/>
          <w:marRight w:val="0"/>
          <w:marTop w:val="0"/>
          <w:marBottom w:val="0"/>
          <w:divBdr>
            <w:top w:val="none" w:sz="0" w:space="0" w:color="auto"/>
            <w:left w:val="none" w:sz="0" w:space="0" w:color="auto"/>
            <w:bottom w:val="none" w:sz="0" w:space="0" w:color="auto"/>
            <w:right w:val="none" w:sz="0" w:space="0" w:color="auto"/>
          </w:divBdr>
        </w:div>
        <w:div w:id="2013487139">
          <w:marLeft w:val="0"/>
          <w:marRight w:val="0"/>
          <w:marTop w:val="0"/>
          <w:marBottom w:val="0"/>
          <w:divBdr>
            <w:top w:val="none" w:sz="0" w:space="0" w:color="auto"/>
            <w:left w:val="none" w:sz="0" w:space="0" w:color="auto"/>
            <w:bottom w:val="none" w:sz="0" w:space="0" w:color="auto"/>
            <w:right w:val="none" w:sz="0" w:space="0" w:color="auto"/>
          </w:divBdr>
        </w:div>
      </w:divsChild>
    </w:div>
    <w:div w:id="1158577285">
      <w:bodyDiv w:val="1"/>
      <w:marLeft w:val="0"/>
      <w:marRight w:val="0"/>
      <w:marTop w:val="0"/>
      <w:marBottom w:val="0"/>
      <w:divBdr>
        <w:top w:val="none" w:sz="0" w:space="0" w:color="auto"/>
        <w:left w:val="none" w:sz="0" w:space="0" w:color="auto"/>
        <w:bottom w:val="none" w:sz="0" w:space="0" w:color="auto"/>
        <w:right w:val="none" w:sz="0" w:space="0" w:color="auto"/>
      </w:divBdr>
      <w:divsChild>
        <w:div w:id="690112680">
          <w:marLeft w:val="0"/>
          <w:marRight w:val="0"/>
          <w:marTop w:val="0"/>
          <w:marBottom w:val="0"/>
          <w:divBdr>
            <w:top w:val="none" w:sz="0" w:space="0" w:color="auto"/>
            <w:left w:val="none" w:sz="0" w:space="0" w:color="auto"/>
            <w:bottom w:val="none" w:sz="0" w:space="0" w:color="auto"/>
            <w:right w:val="none" w:sz="0" w:space="0" w:color="auto"/>
          </w:divBdr>
        </w:div>
        <w:div w:id="1809083762">
          <w:marLeft w:val="0"/>
          <w:marRight w:val="0"/>
          <w:marTop w:val="0"/>
          <w:marBottom w:val="0"/>
          <w:divBdr>
            <w:top w:val="none" w:sz="0" w:space="0" w:color="auto"/>
            <w:left w:val="none" w:sz="0" w:space="0" w:color="auto"/>
            <w:bottom w:val="none" w:sz="0" w:space="0" w:color="auto"/>
            <w:right w:val="none" w:sz="0" w:space="0" w:color="auto"/>
          </w:divBdr>
        </w:div>
      </w:divsChild>
    </w:div>
    <w:div w:id="1229341677">
      <w:bodyDiv w:val="1"/>
      <w:marLeft w:val="0"/>
      <w:marRight w:val="0"/>
      <w:marTop w:val="0"/>
      <w:marBottom w:val="0"/>
      <w:divBdr>
        <w:top w:val="none" w:sz="0" w:space="0" w:color="auto"/>
        <w:left w:val="none" w:sz="0" w:space="0" w:color="auto"/>
        <w:bottom w:val="none" w:sz="0" w:space="0" w:color="auto"/>
        <w:right w:val="none" w:sz="0" w:space="0" w:color="auto"/>
      </w:divBdr>
    </w:div>
    <w:div w:id="1230114968">
      <w:bodyDiv w:val="1"/>
      <w:marLeft w:val="0"/>
      <w:marRight w:val="0"/>
      <w:marTop w:val="0"/>
      <w:marBottom w:val="0"/>
      <w:divBdr>
        <w:top w:val="none" w:sz="0" w:space="0" w:color="auto"/>
        <w:left w:val="none" w:sz="0" w:space="0" w:color="auto"/>
        <w:bottom w:val="none" w:sz="0" w:space="0" w:color="auto"/>
        <w:right w:val="none" w:sz="0" w:space="0" w:color="auto"/>
      </w:divBdr>
      <w:divsChild>
        <w:div w:id="254629549">
          <w:marLeft w:val="0"/>
          <w:marRight w:val="0"/>
          <w:marTop w:val="0"/>
          <w:marBottom w:val="0"/>
          <w:divBdr>
            <w:top w:val="none" w:sz="0" w:space="0" w:color="auto"/>
            <w:left w:val="none" w:sz="0" w:space="0" w:color="auto"/>
            <w:bottom w:val="none" w:sz="0" w:space="0" w:color="auto"/>
            <w:right w:val="none" w:sz="0" w:space="0" w:color="auto"/>
          </w:divBdr>
        </w:div>
        <w:div w:id="1094479508">
          <w:marLeft w:val="0"/>
          <w:marRight w:val="0"/>
          <w:marTop w:val="0"/>
          <w:marBottom w:val="0"/>
          <w:divBdr>
            <w:top w:val="none" w:sz="0" w:space="0" w:color="auto"/>
            <w:left w:val="none" w:sz="0" w:space="0" w:color="auto"/>
            <w:bottom w:val="none" w:sz="0" w:space="0" w:color="auto"/>
            <w:right w:val="none" w:sz="0" w:space="0" w:color="auto"/>
          </w:divBdr>
        </w:div>
      </w:divsChild>
    </w:div>
    <w:div w:id="1245603763">
      <w:bodyDiv w:val="1"/>
      <w:marLeft w:val="0"/>
      <w:marRight w:val="0"/>
      <w:marTop w:val="0"/>
      <w:marBottom w:val="0"/>
      <w:divBdr>
        <w:top w:val="none" w:sz="0" w:space="0" w:color="auto"/>
        <w:left w:val="none" w:sz="0" w:space="0" w:color="auto"/>
        <w:bottom w:val="none" w:sz="0" w:space="0" w:color="auto"/>
        <w:right w:val="none" w:sz="0" w:space="0" w:color="auto"/>
      </w:divBdr>
    </w:div>
    <w:div w:id="1316839412">
      <w:bodyDiv w:val="1"/>
      <w:marLeft w:val="0"/>
      <w:marRight w:val="0"/>
      <w:marTop w:val="0"/>
      <w:marBottom w:val="0"/>
      <w:divBdr>
        <w:top w:val="none" w:sz="0" w:space="0" w:color="auto"/>
        <w:left w:val="none" w:sz="0" w:space="0" w:color="auto"/>
        <w:bottom w:val="none" w:sz="0" w:space="0" w:color="auto"/>
        <w:right w:val="none" w:sz="0" w:space="0" w:color="auto"/>
      </w:divBdr>
    </w:div>
    <w:div w:id="1458917184">
      <w:bodyDiv w:val="1"/>
      <w:marLeft w:val="0"/>
      <w:marRight w:val="0"/>
      <w:marTop w:val="0"/>
      <w:marBottom w:val="0"/>
      <w:divBdr>
        <w:top w:val="none" w:sz="0" w:space="0" w:color="auto"/>
        <w:left w:val="none" w:sz="0" w:space="0" w:color="auto"/>
        <w:bottom w:val="none" w:sz="0" w:space="0" w:color="auto"/>
        <w:right w:val="none" w:sz="0" w:space="0" w:color="auto"/>
      </w:divBdr>
    </w:div>
    <w:div w:id="1461218914">
      <w:bodyDiv w:val="1"/>
      <w:marLeft w:val="0"/>
      <w:marRight w:val="0"/>
      <w:marTop w:val="0"/>
      <w:marBottom w:val="0"/>
      <w:divBdr>
        <w:top w:val="none" w:sz="0" w:space="0" w:color="auto"/>
        <w:left w:val="none" w:sz="0" w:space="0" w:color="auto"/>
        <w:bottom w:val="none" w:sz="0" w:space="0" w:color="auto"/>
        <w:right w:val="none" w:sz="0" w:space="0" w:color="auto"/>
      </w:divBdr>
      <w:divsChild>
        <w:div w:id="478306429">
          <w:marLeft w:val="0"/>
          <w:marRight w:val="0"/>
          <w:marTop w:val="0"/>
          <w:marBottom w:val="0"/>
          <w:divBdr>
            <w:top w:val="none" w:sz="0" w:space="0" w:color="auto"/>
            <w:left w:val="none" w:sz="0" w:space="0" w:color="auto"/>
            <w:bottom w:val="none" w:sz="0" w:space="0" w:color="auto"/>
            <w:right w:val="none" w:sz="0" w:space="0" w:color="auto"/>
          </w:divBdr>
        </w:div>
        <w:div w:id="1223639370">
          <w:marLeft w:val="0"/>
          <w:marRight w:val="0"/>
          <w:marTop w:val="0"/>
          <w:marBottom w:val="0"/>
          <w:divBdr>
            <w:top w:val="none" w:sz="0" w:space="0" w:color="auto"/>
            <w:left w:val="none" w:sz="0" w:space="0" w:color="auto"/>
            <w:bottom w:val="none" w:sz="0" w:space="0" w:color="auto"/>
            <w:right w:val="none" w:sz="0" w:space="0" w:color="auto"/>
          </w:divBdr>
        </w:div>
      </w:divsChild>
    </w:div>
    <w:div w:id="1571189850">
      <w:bodyDiv w:val="1"/>
      <w:marLeft w:val="0"/>
      <w:marRight w:val="0"/>
      <w:marTop w:val="0"/>
      <w:marBottom w:val="0"/>
      <w:divBdr>
        <w:top w:val="none" w:sz="0" w:space="0" w:color="auto"/>
        <w:left w:val="none" w:sz="0" w:space="0" w:color="auto"/>
        <w:bottom w:val="none" w:sz="0" w:space="0" w:color="auto"/>
        <w:right w:val="none" w:sz="0" w:space="0" w:color="auto"/>
      </w:divBdr>
    </w:div>
    <w:div w:id="1606041069">
      <w:bodyDiv w:val="1"/>
      <w:marLeft w:val="0"/>
      <w:marRight w:val="0"/>
      <w:marTop w:val="0"/>
      <w:marBottom w:val="0"/>
      <w:divBdr>
        <w:top w:val="none" w:sz="0" w:space="0" w:color="auto"/>
        <w:left w:val="none" w:sz="0" w:space="0" w:color="auto"/>
        <w:bottom w:val="none" w:sz="0" w:space="0" w:color="auto"/>
        <w:right w:val="none" w:sz="0" w:space="0" w:color="auto"/>
      </w:divBdr>
      <w:divsChild>
        <w:div w:id="8265662">
          <w:marLeft w:val="0"/>
          <w:marRight w:val="0"/>
          <w:marTop w:val="0"/>
          <w:marBottom w:val="0"/>
          <w:divBdr>
            <w:top w:val="none" w:sz="0" w:space="0" w:color="auto"/>
            <w:left w:val="none" w:sz="0" w:space="0" w:color="auto"/>
            <w:bottom w:val="none" w:sz="0" w:space="0" w:color="auto"/>
            <w:right w:val="none" w:sz="0" w:space="0" w:color="auto"/>
          </w:divBdr>
        </w:div>
      </w:divsChild>
    </w:div>
    <w:div w:id="1741056394">
      <w:bodyDiv w:val="1"/>
      <w:marLeft w:val="0"/>
      <w:marRight w:val="0"/>
      <w:marTop w:val="0"/>
      <w:marBottom w:val="0"/>
      <w:divBdr>
        <w:top w:val="none" w:sz="0" w:space="0" w:color="auto"/>
        <w:left w:val="none" w:sz="0" w:space="0" w:color="auto"/>
        <w:bottom w:val="none" w:sz="0" w:space="0" w:color="auto"/>
        <w:right w:val="none" w:sz="0" w:space="0" w:color="auto"/>
      </w:divBdr>
      <w:divsChild>
        <w:div w:id="1774857088">
          <w:marLeft w:val="0"/>
          <w:marRight w:val="0"/>
          <w:marTop w:val="0"/>
          <w:marBottom w:val="0"/>
          <w:divBdr>
            <w:top w:val="none" w:sz="0" w:space="0" w:color="auto"/>
            <w:left w:val="none" w:sz="0" w:space="0" w:color="auto"/>
            <w:bottom w:val="none" w:sz="0" w:space="0" w:color="auto"/>
            <w:right w:val="none" w:sz="0" w:space="0" w:color="auto"/>
          </w:divBdr>
        </w:div>
      </w:divsChild>
    </w:div>
    <w:div w:id="1767800497">
      <w:bodyDiv w:val="1"/>
      <w:marLeft w:val="0"/>
      <w:marRight w:val="0"/>
      <w:marTop w:val="0"/>
      <w:marBottom w:val="0"/>
      <w:divBdr>
        <w:top w:val="none" w:sz="0" w:space="0" w:color="auto"/>
        <w:left w:val="none" w:sz="0" w:space="0" w:color="auto"/>
        <w:bottom w:val="none" w:sz="0" w:space="0" w:color="auto"/>
        <w:right w:val="none" w:sz="0" w:space="0" w:color="auto"/>
      </w:divBdr>
    </w:div>
    <w:div w:id="1810905054">
      <w:bodyDiv w:val="1"/>
      <w:marLeft w:val="0"/>
      <w:marRight w:val="0"/>
      <w:marTop w:val="0"/>
      <w:marBottom w:val="0"/>
      <w:divBdr>
        <w:top w:val="none" w:sz="0" w:space="0" w:color="auto"/>
        <w:left w:val="none" w:sz="0" w:space="0" w:color="auto"/>
        <w:bottom w:val="none" w:sz="0" w:space="0" w:color="auto"/>
        <w:right w:val="none" w:sz="0" w:space="0" w:color="auto"/>
      </w:divBdr>
    </w:div>
    <w:div w:id="1830556607">
      <w:bodyDiv w:val="1"/>
      <w:marLeft w:val="0"/>
      <w:marRight w:val="0"/>
      <w:marTop w:val="0"/>
      <w:marBottom w:val="0"/>
      <w:divBdr>
        <w:top w:val="none" w:sz="0" w:space="0" w:color="auto"/>
        <w:left w:val="none" w:sz="0" w:space="0" w:color="auto"/>
        <w:bottom w:val="none" w:sz="0" w:space="0" w:color="auto"/>
        <w:right w:val="none" w:sz="0" w:space="0" w:color="auto"/>
      </w:divBdr>
    </w:div>
    <w:div w:id="1852405803">
      <w:bodyDiv w:val="1"/>
      <w:marLeft w:val="0"/>
      <w:marRight w:val="0"/>
      <w:marTop w:val="0"/>
      <w:marBottom w:val="0"/>
      <w:divBdr>
        <w:top w:val="none" w:sz="0" w:space="0" w:color="auto"/>
        <w:left w:val="none" w:sz="0" w:space="0" w:color="auto"/>
        <w:bottom w:val="none" w:sz="0" w:space="0" w:color="auto"/>
        <w:right w:val="none" w:sz="0" w:space="0" w:color="auto"/>
      </w:divBdr>
      <w:divsChild>
        <w:div w:id="778841024">
          <w:marLeft w:val="0"/>
          <w:marRight w:val="0"/>
          <w:marTop w:val="0"/>
          <w:marBottom w:val="0"/>
          <w:divBdr>
            <w:top w:val="none" w:sz="0" w:space="0" w:color="auto"/>
            <w:left w:val="none" w:sz="0" w:space="0" w:color="auto"/>
            <w:bottom w:val="none" w:sz="0" w:space="0" w:color="auto"/>
            <w:right w:val="none" w:sz="0" w:space="0" w:color="auto"/>
          </w:divBdr>
        </w:div>
        <w:div w:id="1698315473">
          <w:marLeft w:val="0"/>
          <w:marRight w:val="0"/>
          <w:marTop w:val="0"/>
          <w:marBottom w:val="0"/>
          <w:divBdr>
            <w:top w:val="none" w:sz="0" w:space="0" w:color="auto"/>
            <w:left w:val="none" w:sz="0" w:space="0" w:color="auto"/>
            <w:bottom w:val="none" w:sz="0" w:space="0" w:color="auto"/>
            <w:right w:val="none" w:sz="0" w:space="0" w:color="auto"/>
          </w:divBdr>
        </w:div>
        <w:div w:id="1794447284">
          <w:marLeft w:val="0"/>
          <w:marRight w:val="0"/>
          <w:marTop w:val="0"/>
          <w:marBottom w:val="0"/>
          <w:divBdr>
            <w:top w:val="none" w:sz="0" w:space="0" w:color="auto"/>
            <w:left w:val="none" w:sz="0" w:space="0" w:color="auto"/>
            <w:bottom w:val="none" w:sz="0" w:space="0" w:color="auto"/>
            <w:right w:val="none" w:sz="0" w:space="0" w:color="auto"/>
          </w:divBdr>
        </w:div>
      </w:divsChild>
    </w:div>
    <w:div w:id="1985817208">
      <w:bodyDiv w:val="1"/>
      <w:marLeft w:val="0"/>
      <w:marRight w:val="0"/>
      <w:marTop w:val="0"/>
      <w:marBottom w:val="0"/>
      <w:divBdr>
        <w:top w:val="none" w:sz="0" w:space="0" w:color="auto"/>
        <w:left w:val="none" w:sz="0" w:space="0" w:color="auto"/>
        <w:bottom w:val="none" w:sz="0" w:space="0" w:color="auto"/>
        <w:right w:val="none" w:sz="0" w:space="0" w:color="auto"/>
      </w:divBdr>
      <w:divsChild>
        <w:div w:id="1880318365">
          <w:marLeft w:val="0"/>
          <w:marRight w:val="0"/>
          <w:marTop w:val="0"/>
          <w:marBottom w:val="0"/>
          <w:divBdr>
            <w:top w:val="none" w:sz="0" w:space="0" w:color="auto"/>
            <w:left w:val="none" w:sz="0" w:space="0" w:color="auto"/>
            <w:bottom w:val="none" w:sz="0" w:space="0" w:color="auto"/>
            <w:right w:val="none" w:sz="0" w:space="0" w:color="auto"/>
          </w:divBdr>
        </w:div>
        <w:div w:id="1991786307">
          <w:marLeft w:val="0"/>
          <w:marRight w:val="0"/>
          <w:marTop w:val="0"/>
          <w:marBottom w:val="0"/>
          <w:divBdr>
            <w:top w:val="none" w:sz="0" w:space="0" w:color="auto"/>
            <w:left w:val="none" w:sz="0" w:space="0" w:color="auto"/>
            <w:bottom w:val="none" w:sz="0" w:space="0" w:color="auto"/>
            <w:right w:val="none" w:sz="0" w:space="0" w:color="auto"/>
          </w:divBdr>
        </w:div>
      </w:divsChild>
    </w:div>
    <w:div w:id="2084523740">
      <w:bodyDiv w:val="1"/>
      <w:marLeft w:val="0"/>
      <w:marRight w:val="0"/>
      <w:marTop w:val="0"/>
      <w:marBottom w:val="0"/>
      <w:divBdr>
        <w:top w:val="none" w:sz="0" w:space="0" w:color="auto"/>
        <w:left w:val="none" w:sz="0" w:space="0" w:color="auto"/>
        <w:bottom w:val="none" w:sz="0" w:space="0" w:color="auto"/>
        <w:right w:val="none" w:sz="0" w:space="0" w:color="auto"/>
      </w:divBdr>
    </w:div>
    <w:div w:id="213170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iska.krohova@crestcom.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ad45028c6f7a51d724d121a1f8542c5b">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e591d9f245c6de5cde52871141cfea66"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Props1.xml><?xml version="1.0" encoding="utf-8"?>
<ds:datastoreItem xmlns:ds="http://schemas.openxmlformats.org/officeDocument/2006/customXml" ds:itemID="{C9D5603F-4211-4E0F-86EF-DBB2ACF3D36A}">
  <ds:schemaRefs>
    <ds:schemaRef ds:uri="http://schemas.microsoft.com/sharepoint/v3/contenttype/forms"/>
  </ds:schemaRefs>
</ds:datastoreItem>
</file>

<file path=customXml/itemProps2.xml><?xml version="1.0" encoding="utf-8"?>
<ds:datastoreItem xmlns:ds="http://schemas.openxmlformats.org/officeDocument/2006/customXml" ds:itemID="{9C5104B0-2F76-441B-B499-10EFE4141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8A2AE-AABC-49C5-8529-B6352AFED511}">
  <ds:schemaRefs>
    <ds:schemaRef ds:uri="http://schemas.openxmlformats.org/officeDocument/2006/bibliography"/>
  </ds:schemaRefs>
</ds:datastoreItem>
</file>

<file path=customXml/itemProps4.xml><?xml version="1.0" encoding="utf-8"?>
<ds:datastoreItem xmlns:ds="http://schemas.openxmlformats.org/officeDocument/2006/customXml" ds:itemID="{99571912-F4A6-4C20-AFF8-4273E445F0A4}">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2007</Words>
  <Characters>11842</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Performance</vt:lpstr>
    </vt:vector>
  </TitlesOfParts>
  <Company>INVESCO</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dc:title>
  <dc:creator>VJ</dc:creator>
  <cp:lastModifiedBy>ELISKA KROHOVA</cp:lastModifiedBy>
  <cp:revision>2</cp:revision>
  <cp:lastPrinted>2021-02-17T20:24:00Z</cp:lastPrinted>
  <dcterms:created xsi:type="dcterms:W3CDTF">2026-09-30T10:28:00Z</dcterms:created>
  <dcterms:modified xsi:type="dcterms:W3CDTF">2026-09-30T10:28:00Z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